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C9" w:rsidRPr="00815EC9" w:rsidRDefault="0009703E" w:rsidP="00815EC9">
      <w:pPr>
        <w:rPr>
          <w:sz w:val="24"/>
          <w:szCs w:val="24"/>
          <w:lang w:eastAsia="en-US"/>
        </w:rPr>
      </w:pPr>
      <w:r>
        <w:rPr>
          <w:b/>
        </w:rPr>
        <w:t xml:space="preserve"> </w:t>
      </w:r>
    </w:p>
    <w:p w:rsidR="00815EC9" w:rsidRDefault="00815EC9" w:rsidP="00815EC9">
      <w:pPr>
        <w:spacing w:line="240" w:lineRule="auto"/>
        <w:rPr>
          <w:b/>
          <w:sz w:val="28"/>
          <w:szCs w:val="28"/>
          <w:u w:val="single"/>
          <w:lang w:eastAsia="en-US"/>
        </w:rPr>
      </w:pPr>
    </w:p>
    <w:p w:rsidR="00815EC9" w:rsidRPr="00815EC9" w:rsidRDefault="00815EC9" w:rsidP="00815EC9">
      <w:pPr>
        <w:spacing w:line="240" w:lineRule="auto"/>
        <w:rPr>
          <w:sz w:val="28"/>
          <w:szCs w:val="28"/>
          <w:lang w:eastAsia="en-US"/>
        </w:rPr>
      </w:pPr>
      <w:r w:rsidRPr="00815EC9">
        <w:rPr>
          <w:b/>
          <w:sz w:val="28"/>
          <w:szCs w:val="28"/>
          <w:u w:val="single"/>
          <w:lang w:eastAsia="en-US"/>
        </w:rPr>
        <w:t>Vaccinations Recommended for Patients with Chronic Lymphocytic Leukaemia (CLL) and monoclonal B-cell lymphocytosis (MBL)</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p>
    <w:tbl>
      <w:tblPr>
        <w:tblpPr w:leftFromText="180" w:rightFromText="180" w:vertAnchor="text" w:horzAnchor="margin" w:tblpXSpec="center" w:tblpY="-26"/>
        <w:tblW w:w="101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186"/>
        <w:gridCol w:w="1224"/>
        <w:gridCol w:w="5386"/>
        <w:gridCol w:w="2311"/>
      </w:tblGrid>
      <w:tr w:rsidR="00815EC9" w:rsidRPr="00815EC9" w:rsidTr="00815EC9">
        <w:tblPrEx>
          <w:tblCellMar>
            <w:top w:w="0" w:type="dxa"/>
            <w:bottom w:w="0" w:type="dxa"/>
          </w:tblCellMar>
        </w:tblPrEx>
        <w:trPr>
          <w:cantSplit/>
          <w:trHeight w:hRule="exact" w:val="406"/>
        </w:trPr>
        <w:tc>
          <w:tcPr>
            <w:tcW w:w="1186" w:type="dxa"/>
            <w:vAlign w:val="center"/>
          </w:tcPr>
          <w:p w:rsidR="00815EC9" w:rsidRPr="00815EC9" w:rsidRDefault="00815EC9" w:rsidP="00815EC9">
            <w:pPr>
              <w:spacing w:line="240" w:lineRule="auto"/>
              <w:rPr>
                <w:b/>
                <w:sz w:val="20"/>
                <w:szCs w:val="24"/>
                <w:lang w:eastAsia="en-US"/>
              </w:rPr>
            </w:pPr>
            <w:bookmarkStart w:id="0" w:name="_GoBack"/>
            <w:bookmarkEnd w:id="0"/>
            <w:r w:rsidRPr="00815EC9">
              <w:rPr>
                <w:b/>
                <w:sz w:val="20"/>
                <w:szCs w:val="24"/>
                <w:lang w:eastAsia="en-US"/>
              </w:rPr>
              <w:t>Version</w:t>
            </w:r>
          </w:p>
        </w:tc>
        <w:tc>
          <w:tcPr>
            <w:tcW w:w="1224" w:type="dxa"/>
            <w:vAlign w:val="center"/>
          </w:tcPr>
          <w:p w:rsidR="00815EC9" w:rsidRPr="00815EC9" w:rsidRDefault="00815EC9" w:rsidP="00815EC9">
            <w:pPr>
              <w:spacing w:line="240" w:lineRule="auto"/>
              <w:rPr>
                <w:b/>
                <w:sz w:val="20"/>
                <w:szCs w:val="24"/>
                <w:lang w:eastAsia="en-US"/>
              </w:rPr>
            </w:pPr>
            <w:r w:rsidRPr="00815EC9">
              <w:rPr>
                <w:b/>
                <w:sz w:val="20"/>
                <w:szCs w:val="24"/>
                <w:lang w:eastAsia="en-US"/>
              </w:rPr>
              <w:t>Date</w:t>
            </w:r>
          </w:p>
        </w:tc>
        <w:tc>
          <w:tcPr>
            <w:tcW w:w="5386" w:type="dxa"/>
            <w:vAlign w:val="center"/>
          </w:tcPr>
          <w:p w:rsidR="00815EC9" w:rsidRPr="00815EC9" w:rsidRDefault="00815EC9" w:rsidP="00815EC9">
            <w:pPr>
              <w:spacing w:line="240" w:lineRule="auto"/>
              <w:rPr>
                <w:b/>
                <w:sz w:val="20"/>
                <w:szCs w:val="24"/>
                <w:lang w:eastAsia="en-US"/>
              </w:rPr>
            </w:pPr>
            <w:r w:rsidRPr="00815EC9">
              <w:rPr>
                <w:b/>
                <w:sz w:val="20"/>
                <w:szCs w:val="24"/>
                <w:lang w:eastAsia="en-US"/>
              </w:rPr>
              <w:t>Purpose of Issue/Description of Change</w:t>
            </w:r>
          </w:p>
        </w:tc>
        <w:tc>
          <w:tcPr>
            <w:tcW w:w="2311" w:type="dxa"/>
            <w:vAlign w:val="bottom"/>
          </w:tcPr>
          <w:p w:rsidR="00815EC9" w:rsidRPr="00815EC9" w:rsidRDefault="00815EC9" w:rsidP="00815EC9">
            <w:pPr>
              <w:spacing w:line="240" w:lineRule="auto"/>
              <w:rPr>
                <w:b/>
                <w:sz w:val="20"/>
                <w:szCs w:val="24"/>
                <w:lang w:eastAsia="en-US"/>
              </w:rPr>
            </w:pPr>
            <w:r w:rsidRPr="00815EC9">
              <w:rPr>
                <w:b/>
                <w:sz w:val="20"/>
                <w:szCs w:val="24"/>
                <w:lang w:eastAsia="en-US"/>
              </w:rPr>
              <w:t>Review Date</w:t>
            </w:r>
          </w:p>
          <w:p w:rsidR="00815EC9" w:rsidRPr="00815EC9" w:rsidRDefault="00815EC9" w:rsidP="00815EC9">
            <w:pPr>
              <w:spacing w:line="240" w:lineRule="auto"/>
              <w:rPr>
                <w:b/>
                <w:sz w:val="20"/>
                <w:szCs w:val="24"/>
                <w:lang w:eastAsia="en-US"/>
              </w:rPr>
            </w:pPr>
          </w:p>
        </w:tc>
      </w:tr>
      <w:tr w:rsidR="00815EC9" w:rsidRPr="00815EC9" w:rsidTr="00815EC9">
        <w:tblPrEx>
          <w:tblCellMar>
            <w:top w:w="0" w:type="dxa"/>
            <w:bottom w:w="0" w:type="dxa"/>
          </w:tblCellMar>
        </w:tblPrEx>
        <w:trPr>
          <w:cantSplit/>
          <w:trHeight w:hRule="exact" w:val="1744"/>
        </w:trPr>
        <w:tc>
          <w:tcPr>
            <w:tcW w:w="1186" w:type="dxa"/>
            <w:tcBorders>
              <w:bottom w:val="single" w:sz="18" w:space="0" w:color="auto"/>
            </w:tcBorders>
          </w:tcPr>
          <w:p w:rsidR="00815EC9" w:rsidRPr="00815EC9" w:rsidRDefault="00815EC9" w:rsidP="00815EC9">
            <w:pPr>
              <w:spacing w:line="240" w:lineRule="auto"/>
              <w:rPr>
                <w:sz w:val="20"/>
                <w:szCs w:val="24"/>
                <w:lang w:eastAsia="en-US"/>
              </w:rPr>
            </w:pPr>
            <w:r w:rsidRPr="00815EC9">
              <w:rPr>
                <w:sz w:val="20"/>
                <w:szCs w:val="24"/>
                <w:lang w:eastAsia="en-US"/>
              </w:rPr>
              <w:t>1</w:t>
            </w:r>
          </w:p>
          <w:p w:rsidR="00815EC9" w:rsidRPr="00815EC9" w:rsidRDefault="00815EC9" w:rsidP="00815EC9">
            <w:pPr>
              <w:spacing w:line="240" w:lineRule="auto"/>
              <w:rPr>
                <w:sz w:val="20"/>
                <w:szCs w:val="24"/>
                <w:lang w:eastAsia="en-US"/>
              </w:rPr>
            </w:pPr>
            <w:r w:rsidRPr="00815EC9">
              <w:rPr>
                <w:sz w:val="20"/>
                <w:szCs w:val="24"/>
                <w:lang w:eastAsia="en-US"/>
              </w:rPr>
              <w:t>2</w:t>
            </w:r>
          </w:p>
        </w:tc>
        <w:tc>
          <w:tcPr>
            <w:tcW w:w="1224" w:type="dxa"/>
            <w:tcBorders>
              <w:bottom w:val="single" w:sz="18" w:space="0" w:color="auto"/>
            </w:tcBorders>
          </w:tcPr>
          <w:p w:rsidR="00815EC9" w:rsidRPr="00815EC9" w:rsidRDefault="00815EC9" w:rsidP="00815EC9">
            <w:pPr>
              <w:spacing w:line="240" w:lineRule="auto"/>
              <w:rPr>
                <w:sz w:val="20"/>
                <w:szCs w:val="24"/>
                <w:lang w:eastAsia="en-US"/>
              </w:rPr>
            </w:pPr>
            <w:r w:rsidRPr="00815EC9">
              <w:rPr>
                <w:sz w:val="20"/>
                <w:szCs w:val="24"/>
                <w:lang w:eastAsia="en-US"/>
              </w:rPr>
              <w:t>21/09/16</w:t>
            </w:r>
          </w:p>
          <w:p w:rsidR="00815EC9" w:rsidRPr="00815EC9" w:rsidRDefault="00815EC9" w:rsidP="00815EC9">
            <w:pPr>
              <w:spacing w:line="240" w:lineRule="auto"/>
              <w:rPr>
                <w:sz w:val="20"/>
                <w:szCs w:val="24"/>
                <w:lang w:eastAsia="en-US"/>
              </w:rPr>
            </w:pPr>
            <w:r w:rsidRPr="00815EC9">
              <w:rPr>
                <w:sz w:val="20"/>
                <w:szCs w:val="24"/>
                <w:lang w:eastAsia="en-US"/>
              </w:rPr>
              <w:t>12/03/18</w:t>
            </w:r>
          </w:p>
        </w:tc>
        <w:tc>
          <w:tcPr>
            <w:tcW w:w="5386" w:type="dxa"/>
            <w:tcBorders>
              <w:bottom w:val="single" w:sz="18" w:space="0" w:color="auto"/>
            </w:tcBorders>
          </w:tcPr>
          <w:p w:rsidR="00815EC9" w:rsidRPr="00815EC9" w:rsidRDefault="00815EC9" w:rsidP="00815EC9">
            <w:pPr>
              <w:spacing w:line="240" w:lineRule="auto"/>
              <w:rPr>
                <w:sz w:val="20"/>
                <w:szCs w:val="24"/>
                <w:lang w:eastAsia="en-US"/>
              </w:rPr>
            </w:pPr>
          </w:p>
          <w:p w:rsidR="00815EC9" w:rsidRPr="00815EC9" w:rsidRDefault="00815EC9" w:rsidP="00815EC9">
            <w:pPr>
              <w:spacing w:line="240" w:lineRule="auto"/>
              <w:rPr>
                <w:sz w:val="20"/>
                <w:szCs w:val="24"/>
                <w:lang w:eastAsia="en-US"/>
              </w:rPr>
            </w:pPr>
            <w:r w:rsidRPr="00815EC9">
              <w:rPr>
                <w:sz w:val="20"/>
                <w:szCs w:val="24"/>
                <w:lang w:eastAsia="en-US"/>
              </w:rPr>
              <w:t>Sections 2 and 9 on Hib vaccine revised; Section 3 meningococcal guidance clarified. Section 4 tetanus booster criteria revised and ‘</w:t>
            </w:r>
            <w:proofErr w:type="spellStart"/>
            <w:r w:rsidRPr="00815EC9">
              <w:rPr>
                <w:sz w:val="20"/>
                <w:szCs w:val="24"/>
                <w:lang w:eastAsia="en-US"/>
              </w:rPr>
              <w:t>Repevax</w:t>
            </w:r>
            <w:proofErr w:type="spellEnd"/>
            <w:r w:rsidRPr="00815EC9">
              <w:rPr>
                <w:sz w:val="20"/>
                <w:szCs w:val="24"/>
                <w:lang w:eastAsia="en-US"/>
              </w:rPr>
              <w:t>’ changed to ‘</w:t>
            </w:r>
            <w:proofErr w:type="spellStart"/>
            <w:r w:rsidRPr="00815EC9">
              <w:rPr>
                <w:sz w:val="20"/>
                <w:szCs w:val="24"/>
                <w:lang w:eastAsia="en-US"/>
              </w:rPr>
              <w:t>Revaxis</w:t>
            </w:r>
            <w:proofErr w:type="spellEnd"/>
            <w:r w:rsidRPr="00815EC9">
              <w:rPr>
                <w:sz w:val="20"/>
                <w:szCs w:val="24"/>
                <w:lang w:eastAsia="en-US"/>
              </w:rPr>
              <w:t>’. Section 6 advice on a 2</w:t>
            </w:r>
            <w:r w:rsidRPr="00815EC9">
              <w:rPr>
                <w:sz w:val="20"/>
                <w:szCs w:val="24"/>
                <w:vertAlign w:val="superscript"/>
                <w:lang w:eastAsia="en-US"/>
              </w:rPr>
              <w:t>nd</w:t>
            </w:r>
            <w:r w:rsidRPr="00815EC9">
              <w:rPr>
                <w:sz w:val="20"/>
                <w:szCs w:val="24"/>
                <w:lang w:eastAsia="en-US"/>
              </w:rPr>
              <w:t xml:space="preserve"> dose of influenza vaccine clarified. Consultation summary revised. Vaccination schedule added as an appendix.</w:t>
            </w:r>
          </w:p>
        </w:tc>
        <w:tc>
          <w:tcPr>
            <w:tcW w:w="2311" w:type="dxa"/>
            <w:tcBorders>
              <w:bottom w:val="single" w:sz="18" w:space="0" w:color="auto"/>
            </w:tcBorders>
          </w:tcPr>
          <w:p w:rsidR="00815EC9" w:rsidRPr="00815EC9" w:rsidRDefault="00815EC9" w:rsidP="00815EC9">
            <w:pPr>
              <w:spacing w:line="240" w:lineRule="auto"/>
              <w:rPr>
                <w:sz w:val="20"/>
                <w:szCs w:val="24"/>
                <w:lang w:eastAsia="en-US"/>
              </w:rPr>
            </w:pPr>
            <w:r w:rsidRPr="00815EC9">
              <w:rPr>
                <w:sz w:val="20"/>
                <w:szCs w:val="24"/>
                <w:lang w:eastAsia="en-US"/>
              </w:rPr>
              <w:t>September 2018</w:t>
            </w:r>
          </w:p>
          <w:p w:rsidR="00815EC9" w:rsidRPr="00815EC9" w:rsidRDefault="00815EC9" w:rsidP="00815EC9">
            <w:pPr>
              <w:spacing w:line="240" w:lineRule="auto"/>
              <w:rPr>
                <w:sz w:val="20"/>
                <w:szCs w:val="24"/>
                <w:lang w:eastAsia="en-US"/>
              </w:rPr>
            </w:pPr>
            <w:r w:rsidRPr="00815EC9">
              <w:rPr>
                <w:sz w:val="20"/>
                <w:szCs w:val="24"/>
                <w:lang w:eastAsia="en-US"/>
              </w:rPr>
              <w:t>March 2021</w:t>
            </w:r>
          </w:p>
        </w:tc>
      </w:tr>
      <w:tr w:rsidR="00815EC9" w:rsidRPr="00815EC9" w:rsidTr="00815EC9">
        <w:tblPrEx>
          <w:tblCellMar>
            <w:top w:w="0" w:type="dxa"/>
            <w:bottom w:w="0" w:type="dxa"/>
          </w:tblCellMar>
        </w:tblPrEx>
        <w:trPr>
          <w:cantSplit/>
          <w:trHeight w:hRule="exact" w:val="597"/>
        </w:trPr>
        <w:tc>
          <w:tcPr>
            <w:tcW w:w="2410" w:type="dxa"/>
            <w:gridSpan w:val="2"/>
            <w:tcBorders>
              <w:top w:val="single" w:sz="18" w:space="0" w:color="auto"/>
              <w:bottom w:val="single" w:sz="4" w:space="0" w:color="auto"/>
              <w:right w:val="single" w:sz="4" w:space="0" w:color="auto"/>
            </w:tcBorders>
            <w:vAlign w:val="center"/>
          </w:tcPr>
          <w:p w:rsidR="00815EC9" w:rsidRPr="00815EC9" w:rsidRDefault="00815EC9" w:rsidP="00815EC9">
            <w:pPr>
              <w:spacing w:line="240" w:lineRule="auto"/>
              <w:rPr>
                <w:b/>
                <w:sz w:val="20"/>
                <w:szCs w:val="24"/>
                <w:lang w:eastAsia="en-US"/>
              </w:rPr>
            </w:pPr>
            <w:r w:rsidRPr="00815EC9">
              <w:rPr>
                <w:b/>
                <w:sz w:val="20"/>
                <w:szCs w:val="24"/>
                <w:lang w:eastAsia="en-US"/>
              </w:rPr>
              <w:t>Status</w:t>
            </w:r>
          </w:p>
          <w:p w:rsidR="00815EC9" w:rsidRPr="00815EC9" w:rsidRDefault="00815EC9" w:rsidP="00815EC9">
            <w:pPr>
              <w:spacing w:line="240" w:lineRule="auto"/>
              <w:rPr>
                <w:b/>
                <w:sz w:val="20"/>
                <w:szCs w:val="24"/>
                <w:lang w:eastAsia="en-US"/>
              </w:rPr>
            </w:pPr>
          </w:p>
        </w:tc>
        <w:tc>
          <w:tcPr>
            <w:tcW w:w="7697" w:type="dxa"/>
            <w:gridSpan w:val="2"/>
            <w:tcBorders>
              <w:top w:val="single" w:sz="18" w:space="0" w:color="auto"/>
              <w:left w:val="single" w:sz="4" w:space="0" w:color="auto"/>
              <w:bottom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Approved</w:t>
            </w:r>
          </w:p>
        </w:tc>
      </w:tr>
      <w:tr w:rsidR="00815EC9" w:rsidRPr="00815EC9" w:rsidTr="00815EC9">
        <w:tblPrEx>
          <w:tblCellMar>
            <w:top w:w="0" w:type="dxa"/>
            <w:left w:w="108" w:type="dxa"/>
            <w:bottom w:w="0" w:type="dxa"/>
            <w:right w:w="108" w:type="dxa"/>
          </w:tblCellMar>
        </w:tblPrEx>
        <w:trPr>
          <w:trHeight w:hRule="exact" w:val="480"/>
        </w:trPr>
        <w:tc>
          <w:tcPr>
            <w:tcW w:w="2410"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Publication Scheme</w:t>
            </w:r>
          </w:p>
        </w:tc>
        <w:tc>
          <w:tcPr>
            <w:tcW w:w="7697"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HDFT intranet</w:t>
            </w:r>
          </w:p>
        </w:tc>
      </w:tr>
      <w:tr w:rsidR="00815EC9" w:rsidRPr="00815EC9" w:rsidTr="00815EC9">
        <w:tblPrEx>
          <w:tblCellMar>
            <w:top w:w="0" w:type="dxa"/>
            <w:left w:w="108" w:type="dxa"/>
            <w:bottom w:w="0" w:type="dxa"/>
            <w:right w:w="108" w:type="dxa"/>
          </w:tblCellMar>
        </w:tblPrEx>
        <w:trPr>
          <w:trHeight w:hRule="exact" w:val="480"/>
        </w:trPr>
        <w:tc>
          <w:tcPr>
            <w:tcW w:w="2410"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 xml:space="preserve">FOI Classification </w:t>
            </w:r>
          </w:p>
        </w:tc>
        <w:tc>
          <w:tcPr>
            <w:tcW w:w="7697"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Release without reference to Author</w:t>
            </w:r>
          </w:p>
        </w:tc>
      </w:tr>
      <w:tr w:rsidR="00815EC9" w:rsidRPr="00815EC9" w:rsidTr="00815EC9">
        <w:tblPrEx>
          <w:tblCellMar>
            <w:top w:w="0" w:type="dxa"/>
            <w:left w:w="108" w:type="dxa"/>
            <w:bottom w:w="0" w:type="dxa"/>
            <w:right w:w="108" w:type="dxa"/>
          </w:tblCellMar>
        </w:tblPrEx>
        <w:trPr>
          <w:trHeight w:hRule="exact" w:val="480"/>
        </w:trPr>
        <w:tc>
          <w:tcPr>
            <w:tcW w:w="2410"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Function/Activity</w:t>
            </w:r>
          </w:p>
        </w:tc>
        <w:tc>
          <w:tcPr>
            <w:tcW w:w="7697"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Clinical guideline</w:t>
            </w:r>
          </w:p>
        </w:tc>
      </w:tr>
      <w:tr w:rsidR="00815EC9" w:rsidRPr="00815EC9" w:rsidTr="00815EC9">
        <w:tblPrEx>
          <w:tblCellMar>
            <w:top w:w="0" w:type="dxa"/>
            <w:left w:w="108" w:type="dxa"/>
            <w:bottom w:w="0" w:type="dxa"/>
            <w:right w:w="108" w:type="dxa"/>
          </w:tblCellMar>
        </w:tblPrEx>
        <w:trPr>
          <w:trHeight w:hRule="exact" w:val="480"/>
        </w:trPr>
        <w:tc>
          <w:tcPr>
            <w:tcW w:w="2410"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Record Type</w:t>
            </w:r>
          </w:p>
        </w:tc>
        <w:tc>
          <w:tcPr>
            <w:tcW w:w="7697"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Guideline</w:t>
            </w:r>
          </w:p>
        </w:tc>
      </w:tr>
      <w:tr w:rsidR="00815EC9" w:rsidRPr="00815EC9" w:rsidTr="00815EC9">
        <w:tblPrEx>
          <w:tblCellMar>
            <w:top w:w="0" w:type="dxa"/>
            <w:left w:w="108" w:type="dxa"/>
            <w:bottom w:w="0" w:type="dxa"/>
            <w:right w:w="108" w:type="dxa"/>
          </w:tblCellMar>
        </w:tblPrEx>
        <w:trPr>
          <w:trHeight w:hRule="exact" w:val="480"/>
        </w:trPr>
        <w:tc>
          <w:tcPr>
            <w:tcW w:w="2410"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Project Name</w:t>
            </w:r>
          </w:p>
        </w:tc>
        <w:tc>
          <w:tcPr>
            <w:tcW w:w="7697"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N/A</w:t>
            </w:r>
          </w:p>
        </w:tc>
      </w:tr>
      <w:tr w:rsidR="00815EC9" w:rsidRPr="00815EC9" w:rsidTr="00815EC9">
        <w:tblPrEx>
          <w:tblCellMar>
            <w:top w:w="0" w:type="dxa"/>
            <w:left w:w="108" w:type="dxa"/>
            <w:bottom w:w="0" w:type="dxa"/>
            <w:right w:w="108" w:type="dxa"/>
          </w:tblCellMar>
        </w:tblPrEx>
        <w:trPr>
          <w:trHeight w:hRule="exact" w:val="577"/>
        </w:trPr>
        <w:tc>
          <w:tcPr>
            <w:tcW w:w="2410"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Key Words</w:t>
            </w:r>
          </w:p>
        </w:tc>
        <w:tc>
          <w:tcPr>
            <w:tcW w:w="7697"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CLL, MBL, immunisation, vaccination</w:t>
            </w:r>
          </w:p>
        </w:tc>
      </w:tr>
      <w:tr w:rsidR="00815EC9" w:rsidRPr="00815EC9" w:rsidTr="00815EC9">
        <w:tblPrEx>
          <w:tblCellMar>
            <w:top w:w="0" w:type="dxa"/>
            <w:left w:w="108" w:type="dxa"/>
            <w:bottom w:w="0" w:type="dxa"/>
            <w:right w:w="108" w:type="dxa"/>
          </w:tblCellMar>
        </w:tblPrEx>
        <w:trPr>
          <w:trHeight w:hRule="exact" w:val="480"/>
        </w:trPr>
        <w:tc>
          <w:tcPr>
            <w:tcW w:w="2410"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Standard</w:t>
            </w:r>
          </w:p>
        </w:tc>
        <w:tc>
          <w:tcPr>
            <w:tcW w:w="7697" w:type="dxa"/>
            <w:gridSpan w:val="2"/>
            <w:tcBorders>
              <w:top w:val="single" w:sz="4"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Various guidelines and published literature (see references)</w:t>
            </w:r>
          </w:p>
        </w:tc>
      </w:tr>
      <w:tr w:rsidR="00815EC9" w:rsidRPr="00815EC9" w:rsidTr="00815EC9">
        <w:tblPrEx>
          <w:tblCellMar>
            <w:top w:w="0" w:type="dxa"/>
            <w:left w:w="108" w:type="dxa"/>
            <w:bottom w:w="0" w:type="dxa"/>
            <w:right w:w="108" w:type="dxa"/>
          </w:tblCellMar>
        </w:tblPrEx>
        <w:trPr>
          <w:trHeight w:hRule="exact" w:val="480"/>
        </w:trPr>
        <w:tc>
          <w:tcPr>
            <w:tcW w:w="2410" w:type="dxa"/>
            <w:gridSpan w:val="2"/>
            <w:tcBorders>
              <w:top w:val="single" w:sz="6" w:space="0" w:color="auto"/>
              <w:bottom w:val="single" w:sz="6"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 xml:space="preserve">Author </w:t>
            </w:r>
          </w:p>
        </w:tc>
        <w:tc>
          <w:tcPr>
            <w:tcW w:w="5386" w:type="dxa"/>
            <w:tcBorders>
              <w:top w:val="single" w:sz="6" w:space="0" w:color="auto"/>
              <w:bottom w:val="single" w:sz="6"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Dr Richard Hobson, Consultant Microbiologist.</w:t>
            </w:r>
          </w:p>
        </w:tc>
        <w:tc>
          <w:tcPr>
            <w:tcW w:w="2311" w:type="dxa"/>
            <w:tcBorders>
              <w:top w:val="single" w:sz="6" w:space="0" w:color="auto"/>
              <w:bottom w:val="single" w:sz="6" w:space="0" w:color="auto"/>
            </w:tcBorders>
          </w:tcPr>
          <w:p w:rsidR="00815EC9" w:rsidRPr="00815EC9" w:rsidRDefault="00815EC9" w:rsidP="00815EC9">
            <w:pPr>
              <w:spacing w:line="240" w:lineRule="auto"/>
              <w:rPr>
                <w:b/>
                <w:sz w:val="20"/>
                <w:szCs w:val="24"/>
                <w:lang w:eastAsia="en-US"/>
              </w:rPr>
            </w:pPr>
            <w:r w:rsidRPr="00815EC9">
              <w:rPr>
                <w:b/>
                <w:sz w:val="20"/>
                <w:szCs w:val="24"/>
                <w:lang w:eastAsia="en-US"/>
              </w:rPr>
              <w:t>5 March 2018</w:t>
            </w:r>
          </w:p>
        </w:tc>
      </w:tr>
      <w:tr w:rsidR="00815EC9" w:rsidRPr="00815EC9" w:rsidTr="00815EC9">
        <w:tblPrEx>
          <w:tblCellMar>
            <w:top w:w="0" w:type="dxa"/>
            <w:left w:w="108" w:type="dxa"/>
            <w:bottom w:w="0" w:type="dxa"/>
            <w:right w:w="108" w:type="dxa"/>
          </w:tblCellMar>
        </w:tblPrEx>
        <w:trPr>
          <w:trHeight w:hRule="exact" w:val="781"/>
        </w:trPr>
        <w:tc>
          <w:tcPr>
            <w:tcW w:w="2410" w:type="dxa"/>
            <w:gridSpan w:val="2"/>
            <w:tcBorders>
              <w:top w:val="single" w:sz="6" w:space="0" w:color="auto"/>
            </w:tcBorders>
          </w:tcPr>
          <w:p w:rsidR="00815EC9" w:rsidRPr="00815EC9" w:rsidRDefault="00815EC9" w:rsidP="00815EC9">
            <w:pPr>
              <w:tabs>
                <w:tab w:val="decimal" w:pos="259"/>
                <w:tab w:val="left" w:pos="965"/>
              </w:tabs>
              <w:spacing w:line="360" w:lineRule="exact"/>
              <w:rPr>
                <w:b/>
                <w:sz w:val="20"/>
                <w:szCs w:val="20"/>
                <w:lang w:val="en-US" w:eastAsia="en-US"/>
              </w:rPr>
            </w:pPr>
            <w:r w:rsidRPr="00815EC9">
              <w:rPr>
                <w:b/>
                <w:sz w:val="20"/>
                <w:szCs w:val="20"/>
                <w:lang w:val="en-US" w:eastAsia="en-US"/>
              </w:rPr>
              <w:t>Approval and/or Ratification Body</w:t>
            </w:r>
          </w:p>
        </w:tc>
        <w:tc>
          <w:tcPr>
            <w:tcW w:w="5386" w:type="dxa"/>
            <w:tcBorders>
              <w:top w:val="single" w:sz="6" w:space="0" w:color="auto"/>
            </w:tcBorders>
          </w:tcPr>
          <w:p w:rsidR="00815EC9" w:rsidRPr="00815EC9" w:rsidRDefault="00815EC9" w:rsidP="00815EC9">
            <w:pPr>
              <w:spacing w:line="240" w:lineRule="auto"/>
              <w:rPr>
                <w:b/>
                <w:sz w:val="20"/>
                <w:szCs w:val="24"/>
                <w:lang w:eastAsia="en-US"/>
              </w:rPr>
            </w:pPr>
          </w:p>
          <w:p w:rsidR="00815EC9" w:rsidRPr="00815EC9" w:rsidRDefault="00815EC9" w:rsidP="00815EC9">
            <w:pPr>
              <w:spacing w:line="240" w:lineRule="auto"/>
              <w:rPr>
                <w:b/>
                <w:sz w:val="20"/>
                <w:szCs w:val="24"/>
                <w:lang w:eastAsia="en-US"/>
              </w:rPr>
            </w:pPr>
            <w:r w:rsidRPr="00815EC9">
              <w:rPr>
                <w:b/>
                <w:sz w:val="20"/>
                <w:szCs w:val="24"/>
                <w:lang w:eastAsia="en-US"/>
              </w:rPr>
              <w:t>Area Prescribing Committee</w:t>
            </w:r>
          </w:p>
        </w:tc>
        <w:tc>
          <w:tcPr>
            <w:tcW w:w="2311" w:type="dxa"/>
            <w:tcBorders>
              <w:top w:val="single" w:sz="6" w:space="0" w:color="auto"/>
            </w:tcBorders>
          </w:tcPr>
          <w:p w:rsidR="00815EC9" w:rsidRPr="00815EC9" w:rsidRDefault="00815EC9" w:rsidP="00815EC9">
            <w:pPr>
              <w:spacing w:line="240" w:lineRule="auto"/>
              <w:rPr>
                <w:b/>
                <w:sz w:val="20"/>
                <w:szCs w:val="24"/>
                <w:lang w:eastAsia="en-US"/>
              </w:rPr>
            </w:pPr>
          </w:p>
          <w:p w:rsidR="00815EC9" w:rsidRPr="00815EC9" w:rsidRDefault="00815EC9" w:rsidP="00815EC9">
            <w:pPr>
              <w:spacing w:line="240" w:lineRule="auto"/>
              <w:rPr>
                <w:b/>
                <w:sz w:val="20"/>
                <w:szCs w:val="24"/>
                <w:lang w:eastAsia="en-US"/>
              </w:rPr>
            </w:pPr>
            <w:r w:rsidRPr="00815EC9">
              <w:rPr>
                <w:b/>
                <w:sz w:val="20"/>
                <w:szCs w:val="24"/>
                <w:lang w:eastAsia="en-US"/>
              </w:rPr>
              <w:t>27 April 2018</w:t>
            </w:r>
          </w:p>
        </w:tc>
      </w:tr>
    </w:tbl>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sectPr w:rsidR="00815EC9" w:rsidRPr="00815EC9" w:rsidSect="00353C15">
          <w:headerReference w:type="default" r:id="rId9"/>
          <w:footerReference w:type="default" r:id="rId10"/>
          <w:headerReference w:type="first" r:id="rId11"/>
          <w:pgSz w:w="11907" w:h="16840" w:code="9"/>
          <w:pgMar w:top="1440" w:right="1440" w:bottom="1440" w:left="1440" w:header="709" w:footer="709" w:gutter="0"/>
          <w:cols w:space="708"/>
          <w:titlePg/>
          <w:docGrid w:linePitch="360"/>
        </w:sectPr>
      </w:pPr>
    </w:p>
    <w:p w:rsidR="00815EC9" w:rsidRPr="00815EC9" w:rsidRDefault="00815EC9" w:rsidP="00815EC9">
      <w:pPr>
        <w:spacing w:line="240" w:lineRule="auto"/>
        <w:rPr>
          <w:b/>
          <w:sz w:val="24"/>
          <w:szCs w:val="24"/>
          <w:lang w:eastAsia="en-US"/>
        </w:rPr>
      </w:pPr>
      <w:r w:rsidRPr="00815EC9">
        <w:rPr>
          <w:b/>
          <w:sz w:val="24"/>
          <w:szCs w:val="24"/>
          <w:lang w:eastAsia="en-US"/>
        </w:rPr>
        <w:lastRenderedPageBreak/>
        <w:t>CONTENTS</w:t>
      </w:r>
    </w:p>
    <w:p w:rsidR="00815EC9" w:rsidRPr="00815EC9" w:rsidRDefault="00815EC9" w:rsidP="00815EC9">
      <w:pPr>
        <w:spacing w:line="240" w:lineRule="auto"/>
        <w:rPr>
          <w:sz w:val="24"/>
          <w:szCs w:val="24"/>
          <w:lang w:eastAsia="en-US"/>
        </w:rPr>
      </w:pPr>
    </w:p>
    <w:p w:rsidR="00815EC9" w:rsidRPr="00815EC9" w:rsidRDefault="00815EC9" w:rsidP="00815EC9">
      <w:pPr>
        <w:tabs>
          <w:tab w:val="right" w:leader="dot" w:pos="9017"/>
        </w:tabs>
        <w:spacing w:before="240" w:after="120" w:line="240" w:lineRule="auto"/>
        <w:ind w:left="720" w:hanging="720"/>
        <w:rPr>
          <w:rFonts w:ascii="Calibri" w:hAnsi="Calibri"/>
          <w:noProof/>
          <w:sz w:val="22"/>
        </w:rPr>
      </w:pPr>
      <w:r w:rsidRPr="00815EC9">
        <w:rPr>
          <w:b/>
          <w:caps/>
          <w:noProof/>
          <w:sz w:val="24"/>
          <w:szCs w:val="24"/>
          <w:lang w:eastAsia="en-US"/>
        </w:rPr>
        <w:fldChar w:fldCharType="begin"/>
      </w:r>
      <w:r w:rsidRPr="00815EC9">
        <w:rPr>
          <w:b/>
          <w:caps/>
          <w:noProof/>
          <w:sz w:val="24"/>
          <w:szCs w:val="24"/>
          <w:lang w:eastAsia="en-US"/>
        </w:rPr>
        <w:instrText xml:space="preserve"> TOC \o "1-3" \h \z \u </w:instrText>
      </w:r>
      <w:r w:rsidRPr="00815EC9">
        <w:rPr>
          <w:b/>
          <w:caps/>
          <w:noProof/>
          <w:sz w:val="24"/>
          <w:szCs w:val="24"/>
          <w:lang w:eastAsia="en-US"/>
        </w:rPr>
        <w:fldChar w:fldCharType="separate"/>
      </w:r>
      <w:hyperlink w:anchor="_Toc462228084" w:history="1">
        <w:r w:rsidRPr="00815EC9">
          <w:rPr>
            <w:b/>
            <w:caps/>
            <w:noProof/>
            <w:color w:val="0000FF"/>
            <w:sz w:val="24"/>
            <w:szCs w:val="24"/>
            <w:u w:val="single"/>
            <w:lang w:eastAsia="en-US"/>
          </w:rPr>
          <w:t>1.</w:t>
        </w:r>
        <w:r w:rsidRPr="00815EC9">
          <w:rPr>
            <w:rFonts w:ascii="Calibri" w:hAnsi="Calibri"/>
            <w:noProof/>
            <w:sz w:val="22"/>
          </w:rPr>
          <w:tab/>
        </w:r>
        <w:r w:rsidRPr="00815EC9">
          <w:rPr>
            <w:b/>
            <w:caps/>
            <w:noProof/>
            <w:color w:val="0000FF"/>
            <w:sz w:val="24"/>
            <w:szCs w:val="24"/>
            <w:u w:val="single"/>
            <w:lang w:eastAsia="en-US"/>
          </w:rPr>
          <w:t>Introduction</w:t>
        </w:r>
        <w:r w:rsidRPr="00815EC9">
          <w:rPr>
            <w:b/>
            <w:caps/>
            <w:noProof/>
            <w:webHidden/>
            <w:sz w:val="24"/>
            <w:szCs w:val="24"/>
            <w:lang w:eastAsia="en-US"/>
          </w:rPr>
          <w:tab/>
        </w:r>
        <w:r w:rsidRPr="00815EC9">
          <w:rPr>
            <w:b/>
            <w:caps/>
            <w:noProof/>
            <w:webHidden/>
            <w:sz w:val="24"/>
            <w:szCs w:val="24"/>
            <w:lang w:eastAsia="en-US"/>
          </w:rPr>
          <w:fldChar w:fldCharType="begin"/>
        </w:r>
        <w:r w:rsidRPr="00815EC9">
          <w:rPr>
            <w:b/>
            <w:caps/>
            <w:noProof/>
            <w:webHidden/>
            <w:sz w:val="24"/>
            <w:szCs w:val="24"/>
            <w:lang w:eastAsia="en-US"/>
          </w:rPr>
          <w:instrText xml:space="preserve"> PAGEREF _Toc462228084 \h </w:instrText>
        </w:r>
        <w:r w:rsidRPr="00815EC9">
          <w:rPr>
            <w:b/>
            <w:caps/>
            <w:noProof/>
            <w:webHidden/>
            <w:sz w:val="24"/>
            <w:szCs w:val="24"/>
            <w:lang w:eastAsia="en-US"/>
          </w:rPr>
        </w:r>
        <w:r w:rsidRPr="00815EC9">
          <w:rPr>
            <w:b/>
            <w:caps/>
            <w:noProof/>
            <w:webHidden/>
            <w:sz w:val="24"/>
            <w:szCs w:val="24"/>
            <w:lang w:eastAsia="en-US"/>
          </w:rPr>
          <w:fldChar w:fldCharType="separate"/>
        </w:r>
        <w:r w:rsidRPr="00815EC9">
          <w:rPr>
            <w:b/>
            <w:caps/>
            <w:noProof/>
            <w:webHidden/>
            <w:sz w:val="24"/>
            <w:szCs w:val="24"/>
            <w:lang w:eastAsia="en-US"/>
          </w:rPr>
          <w:t>3</w:t>
        </w:r>
        <w:r w:rsidRPr="00815EC9">
          <w:rPr>
            <w:b/>
            <w:caps/>
            <w:noProof/>
            <w:webHidden/>
            <w:sz w:val="24"/>
            <w:szCs w:val="24"/>
            <w:lang w:eastAsia="en-US"/>
          </w:rPr>
          <w:fldChar w:fldCharType="end"/>
        </w:r>
      </w:hyperlink>
    </w:p>
    <w:p w:rsidR="00815EC9" w:rsidRPr="00815EC9" w:rsidRDefault="00815EC9" w:rsidP="00815EC9">
      <w:pPr>
        <w:tabs>
          <w:tab w:val="left" w:pos="1440"/>
          <w:tab w:val="right" w:leader="dot" w:pos="9017"/>
        </w:tabs>
        <w:spacing w:after="60" w:line="240" w:lineRule="auto"/>
        <w:ind w:left="1440" w:hanging="720"/>
        <w:rPr>
          <w:rFonts w:ascii="Calibri" w:hAnsi="Calibri"/>
          <w:noProof/>
          <w:sz w:val="22"/>
        </w:rPr>
      </w:pPr>
      <w:hyperlink w:anchor="_Toc462228085" w:history="1">
        <w:r w:rsidRPr="00815EC9">
          <w:rPr>
            <w:noProof/>
            <w:color w:val="0000FF"/>
            <w:sz w:val="24"/>
            <w:szCs w:val="24"/>
            <w:u w:val="single"/>
            <w:lang w:eastAsia="en-US"/>
          </w:rPr>
          <w:t>1.1.</w:t>
        </w:r>
        <w:r w:rsidRPr="00815EC9">
          <w:rPr>
            <w:rFonts w:ascii="Calibri" w:hAnsi="Calibri"/>
            <w:noProof/>
            <w:sz w:val="22"/>
          </w:rPr>
          <w:tab/>
        </w:r>
        <w:r w:rsidRPr="00815EC9">
          <w:rPr>
            <w:noProof/>
            <w:color w:val="0000FF"/>
            <w:sz w:val="24"/>
            <w:szCs w:val="24"/>
            <w:u w:val="single"/>
            <w:lang w:eastAsia="en-US"/>
          </w:rPr>
          <w:t>Purpose</w:t>
        </w:r>
        <w:r w:rsidRPr="00815EC9">
          <w:rPr>
            <w:noProof/>
            <w:webHidden/>
            <w:sz w:val="24"/>
            <w:szCs w:val="24"/>
            <w:lang w:eastAsia="en-US"/>
          </w:rPr>
          <w:tab/>
        </w:r>
        <w:r w:rsidRPr="00815EC9">
          <w:rPr>
            <w:noProof/>
            <w:webHidden/>
            <w:sz w:val="24"/>
            <w:szCs w:val="24"/>
            <w:lang w:eastAsia="en-US"/>
          </w:rPr>
          <w:fldChar w:fldCharType="begin"/>
        </w:r>
        <w:r w:rsidRPr="00815EC9">
          <w:rPr>
            <w:noProof/>
            <w:webHidden/>
            <w:sz w:val="24"/>
            <w:szCs w:val="24"/>
            <w:lang w:eastAsia="en-US"/>
          </w:rPr>
          <w:instrText xml:space="preserve"> PAGEREF _Toc462228085 \h </w:instrText>
        </w:r>
        <w:r w:rsidRPr="00815EC9">
          <w:rPr>
            <w:noProof/>
            <w:webHidden/>
            <w:sz w:val="24"/>
            <w:szCs w:val="24"/>
            <w:lang w:eastAsia="en-US"/>
          </w:rPr>
        </w:r>
        <w:r w:rsidRPr="00815EC9">
          <w:rPr>
            <w:noProof/>
            <w:webHidden/>
            <w:sz w:val="24"/>
            <w:szCs w:val="24"/>
            <w:lang w:eastAsia="en-US"/>
          </w:rPr>
          <w:fldChar w:fldCharType="separate"/>
        </w:r>
        <w:r w:rsidRPr="00815EC9">
          <w:rPr>
            <w:noProof/>
            <w:webHidden/>
            <w:sz w:val="24"/>
            <w:szCs w:val="24"/>
            <w:lang w:eastAsia="en-US"/>
          </w:rPr>
          <w:t>3</w:t>
        </w:r>
        <w:r w:rsidRPr="00815EC9">
          <w:rPr>
            <w:noProof/>
            <w:webHidden/>
            <w:sz w:val="24"/>
            <w:szCs w:val="24"/>
            <w:lang w:eastAsia="en-US"/>
          </w:rPr>
          <w:fldChar w:fldCharType="end"/>
        </w:r>
      </w:hyperlink>
    </w:p>
    <w:p w:rsidR="00815EC9" w:rsidRPr="00815EC9" w:rsidRDefault="00815EC9" w:rsidP="00815EC9">
      <w:pPr>
        <w:tabs>
          <w:tab w:val="left" w:pos="1440"/>
          <w:tab w:val="right" w:leader="dot" w:pos="9017"/>
        </w:tabs>
        <w:spacing w:after="60" w:line="240" w:lineRule="auto"/>
        <w:ind w:left="1440" w:hanging="720"/>
        <w:rPr>
          <w:rFonts w:ascii="Calibri" w:hAnsi="Calibri"/>
          <w:noProof/>
          <w:sz w:val="22"/>
        </w:rPr>
      </w:pPr>
      <w:hyperlink w:anchor="_Toc462228086" w:history="1">
        <w:r w:rsidRPr="00815EC9">
          <w:rPr>
            <w:noProof/>
            <w:color w:val="0000FF"/>
            <w:sz w:val="24"/>
            <w:szCs w:val="24"/>
            <w:u w:val="single"/>
            <w:lang w:eastAsia="en-US"/>
          </w:rPr>
          <w:t>1.2.</w:t>
        </w:r>
        <w:r w:rsidRPr="00815EC9">
          <w:rPr>
            <w:rFonts w:ascii="Calibri" w:hAnsi="Calibri"/>
            <w:noProof/>
            <w:sz w:val="22"/>
          </w:rPr>
          <w:tab/>
        </w:r>
        <w:r w:rsidRPr="00815EC9">
          <w:rPr>
            <w:noProof/>
            <w:color w:val="0000FF"/>
            <w:sz w:val="24"/>
            <w:szCs w:val="24"/>
            <w:u w:val="single"/>
            <w:lang w:eastAsia="en-US"/>
          </w:rPr>
          <w:t>Scope</w:t>
        </w:r>
        <w:r w:rsidRPr="00815EC9">
          <w:rPr>
            <w:noProof/>
            <w:webHidden/>
            <w:sz w:val="24"/>
            <w:szCs w:val="24"/>
            <w:lang w:eastAsia="en-US"/>
          </w:rPr>
          <w:tab/>
        </w:r>
        <w:r w:rsidRPr="00815EC9">
          <w:rPr>
            <w:noProof/>
            <w:webHidden/>
            <w:sz w:val="24"/>
            <w:szCs w:val="24"/>
            <w:lang w:eastAsia="en-US"/>
          </w:rPr>
          <w:fldChar w:fldCharType="begin"/>
        </w:r>
        <w:r w:rsidRPr="00815EC9">
          <w:rPr>
            <w:noProof/>
            <w:webHidden/>
            <w:sz w:val="24"/>
            <w:szCs w:val="24"/>
            <w:lang w:eastAsia="en-US"/>
          </w:rPr>
          <w:instrText xml:space="preserve"> PAGEREF _Toc462228086 \h </w:instrText>
        </w:r>
        <w:r w:rsidRPr="00815EC9">
          <w:rPr>
            <w:noProof/>
            <w:webHidden/>
            <w:sz w:val="24"/>
            <w:szCs w:val="24"/>
            <w:lang w:eastAsia="en-US"/>
          </w:rPr>
        </w:r>
        <w:r w:rsidRPr="00815EC9">
          <w:rPr>
            <w:noProof/>
            <w:webHidden/>
            <w:sz w:val="24"/>
            <w:szCs w:val="24"/>
            <w:lang w:eastAsia="en-US"/>
          </w:rPr>
          <w:fldChar w:fldCharType="separate"/>
        </w:r>
        <w:r w:rsidRPr="00815EC9">
          <w:rPr>
            <w:noProof/>
            <w:webHidden/>
            <w:sz w:val="24"/>
            <w:szCs w:val="24"/>
            <w:lang w:eastAsia="en-US"/>
          </w:rPr>
          <w:t>7</w:t>
        </w:r>
        <w:r w:rsidRPr="00815EC9">
          <w:rPr>
            <w:noProof/>
            <w:webHidden/>
            <w:sz w:val="24"/>
            <w:szCs w:val="24"/>
            <w:lang w:eastAsia="en-US"/>
          </w:rPr>
          <w:fldChar w:fldCharType="end"/>
        </w:r>
      </w:hyperlink>
    </w:p>
    <w:p w:rsidR="00815EC9" w:rsidRPr="00815EC9" w:rsidRDefault="00815EC9" w:rsidP="00815EC9">
      <w:pPr>
        <w:tabs>
          <w:tab w:val="right" w:leader="dot" w:pos="9017"/>
        </w:tabs>
        <w:spacing w:before="240" w:after="120" w:line="240" w:lineRule="auto"/>
        <w:ind w:left="720" w:hanging="720"/>
        <w:rPr>
          <w:rFonts w:ascii="Calibri" w:hAnsi="Calibri"/>
          <w:noProof/>
          <w:sz w:val="22"/>
        </w:rPr>
      </w:pPr>
      <w:hyperlink w:anchor="_Toc462228087" w:history="1">
        <w:r w:rsidRPr="00815EC9">
          <w:rPr>
            <w:b/>
            <w:caps/>
            <w:noProof/>
            <w:color w:val="0000FF"/>
            <w:sz w:val="24"/>
            <w:szCs w:val="24"/>
            <w:u w:val="single"/>
            <w:lang w:eastAsia="en-US"/>
          </w:rPr>
          <w:t>2.</w:t>
        </w:r>
        <w:r w:rsidRPr="00815EC9">
          <w:rPr>
            <w:rFonts w:ascii="Calibri" w:hAnsi="Calibri"/>
            <w:noProof/>
            <w:sz w:val="22"/>
          </w:rPr>
          <w:tab/>
        </w:r>
        <w:r w:rsidRPr="00815EC9">
          <w:rPr>
            <w:b/>
            <w:caps/>
            <w:noProof/>
            <w:color w:val="0000FF"/>
            <w:sz w:val="24"/>
            <w:szCs w:val="24"/>
            <w:u w:val="single"/>
            <w:lang w:eastAsia="en-US"/>
          </w:rPr>
          <w:t>Guidance</w:t>
        </w:r>
        <w:r w:rsidRPr="00815EC9">
          <w:rPr>
            <w:b/>
            <w:caps/>
            <w:noProof/>
            <w:webHidden/>
            <w:sz w:val="24"/>
            <w:szCs w:val="24"/>
            <w:lang w:eastAsia="en-US"/>
          </w:rPr>
          <w:tab/>
        </w:r>
        <w:r w:rsidRPr="00815EC9">
          <w:rPr>
            <w:b/>
            <w:caps/>
            <w:noProof/>
            <w:webHidden/>
            <w:sz w:val="24"/>
            <w:szCs w:val="24"/>
            <w:lang w:eastAsia="en-US"/>
          </w:rPr>
          <w:fldChar w:fldCharType="begin"/>
        </w:r>
        <w:r w:rsidRPr="00815EC9">
          <w:rPr>
            <w:b/>
            <w:caps/>
            <w:noProof/>
            <w:webHidden/>
            <w:sz w:val="24"/>
            <w:szCs w:val="24"/>
            <w:lang w:eastAsia="en-US"/>
          </w:rPr>
          <w:instrText xml:space="preserve"> PAGEREF _Toc462228087 \h </w:instrText>
        </w:r>
        <w:r w:rsidRPr="00815EC9">
          <w:rPr>
            <w:b/>
            <w:caps/>
            <w:noProof/>
            <w:webHidden/>
            <w:sz w:val="24"/>
            <w:szCs w:val="24"/>
            <w:lang w:eastAsia="en-US"/>
          </w:rPr>
        </w:r>
        <w:r w:rsidRPr="00815EC9">
          <w:rPr>
            <w:b/>
            <w:caps/>
            <w:noProof/>
            <w:webHidden/>
            <w:sz w:val="24"/>
            <w:szCs w:val="24"/>
            <w:lang w:eastAsia="en-US"/>
          </w:rPr>
          <w:fldChar w:fldCharType="separate"/>
        </w:r>
        <w:r w:rsidRPr="00815EC9">
          <w:rPr>
            <w:b/>
            <w:caps/>
            <w:noProof/>
            <w:webHidden/>
            <w:sz w:val="24"/>
            <w:szCs w:val="24"/>
            <w:lang w:eastAsia="en-US"/>
          </w:rPr>
          <w:t>8</w:t>
        </w:r>
        <w:r w:rsidRPr="00815EC9">
          <w:rPr>
            <w:b/>
            <w:caps/>
            <w:noProof/>
            <w:webHidden/>
            <w:sz w:val="24"/>
            <w:szCs w:val="24"/>
            <w:lang w:eastAsia="en-US"/>
          </w:rPr>
          <w:fldChar w:fldCharType="end"/>
        </w:r>
      </w:hyperlink>
    </w:p>
    <w:p w:rsidR="00815EC9" w:rsidRPr="00815EC9" w:rsidRDefault="00815EC9" w:rsidP="00815EC9">
      <w:pPr>
        <w:tabs>
          <w:tab w:val="right" w:leader="dot" w:pos="9017"/>
        </w:tabs>
        <w:spacing w:before="240" w:after="120" w:line="240" w:lineRule="auto"/>
        <w:ind w:left="720" w:hanging="720"/>
        <w:rPr>
          <w:rFonts w:ascii="Calibri" w:hAnsi="Calibri"/>
          <w:noProof/>
          <w:sz w:val="22"/>
        </w:rPr>
      </w:pPr>
      <w:hyperlink w:anchor="_Toc462228088" w:history="1">
        <w:r w:rsidRPr="00815EC9">
          <w:rPr>
            <w:b/>
            <w:caps/>
            <w:noProof/>
            <w:color w:val="0000FF"/>
            <w:sz w:val="24"/>
            <w:szCs w:val="24"/>
            <w:u w:val="single"/>
            <w:lang w:eastAsia="en-US"/>
          </w:rPr>
          <w:t>3.</w:t>
        </w:r>
        <w:r w:rsidRPr="00815EC9">
          <w:rPr>
            <w:rFonts w:ascii="Calibri" w:hAnsi="Calibri"/>
            <w:noProof/>
            <w:sz w:val="22"/>
          </w:rPr>
          <w:tab/>
        </w:r>
        <w:r w:rsidRPr="00815EC9">
          <w:rPr>
            <w:b/>
            <w:caps/>
            <w:noProof/>
            <w:color w:val="0000FF"/>
            <w:sz w:val="24"/>
            <w:szCs w:val="24"/>
            <w:u w:val="single"/>
            <w:lang w:eastAsia="en-US"/>
          </w:rPr>
          <w:t>consultation, approval and ratification process</w:t>
        </w:r>
        <w:r w:rsidRPr="00815EC9">
          <w:rPr>
            <w:b/>
            <w:caps/>
            <w:noProof/>
            <w:webHidden/>
            <w:sz w:val="24"/>
            <w:szCs w:val="24"/>
            <w:lang w:eastAsia="en-US"/>
          </w:rPr>
          <w:tab/>
        </w:r>
        <w:r w:rsidRPr="00815EC9">
          <w:rPr>
            <w:b/>
            <w:caps/>
            <w:noProof/>
            <w:webHidden/>
            <w:sz w:val="24"/>
            <w:szCs w:val="24"/>
            <w:lang w:eastAsia="en-US"/>
          </w:rPr>
          <w:fldChar w:fldCharType="begin"/>
        </w:r>
        <w:r w:rsidRPr="00815EC9">
          <w:rPr>
            <w:b/>
            <w:caps/>
            <w:noProof/>
            <w:webHidden/>
            <w:sz w:val="24"/>
            <w:szCs w:val="24"/>
            <w:lang w:eastAsia="en-US"/>
          </w:rPr>
          <w:instrText xml:space="preserve"> PAGEREF _Toc462228088 \h </w:instrText>
        </w:r>
        <w:r w:rsidRPr="00815EC9">
          <w:rPr>
            <w:b/>
            <w:caps/>
            <w:noProof/>
            <w:webHidden/>
            <w:sz w:val="24"/>
            <w:szCs w:val="24"/>
            <w:lang w:eastAsia="en-US"/>
          </w:rPr>
        </w:r>
        <w:r w:rsidRPr="00815EC9">
          <w:rPr>
            <w:b/>
            <w:caps/>
            <w:noProof/>
            <w:webHidden/>
            <w:sz w:val="24"/>
            <w:szCs w:val="24"/>
            <w:lang w:eastAsia="en-US"/>
          </w:rPr>
          <w:fldChar w:fldCharType="separate"/>
        </w:r>
        <w:r w:rsidRPr="00815EC9">
          <w:rPr>
            <w:b/>
            <w:caps/>
            <w:noProof/>
            <w:webHidden/>
            <w:sz w:val="24"/>
            <w:szCs w:val="24"/>
            <w:lang w:eastAsia="en-US"/>
          </w:rPr>
          <w:t>9</w:t>
        </w:r>
        <w:r w:rsidRPr="00815EC9">
          <w:rPr>
            <w:b/>
            <w:caps/>
            <w:noProof/>
            <w:webHidden/>
            <w:sz w:val="24"/>
            <w:szCs w:val="24"/>
            <w:lang w:eastAsia="en-US"/>
          </w:rPr>
          <w:fldChar w:fldCharType="end"/>
        </w:r>
      </w:hyperlink>
    </w:p>
    <w:p w:rsidR="00815EC9" w:rsidRPr="00815EC9" w:rsidRDefault="00815EC9" w:rsidP="00815EC9">
      <w:pPr>
        <w:tabs>
          <w:tab w:val="right" w:leader="dot" w:pos="9017"/>
        </w:tabs>
        <w:spacing w:before="240" w:after="120" w:line="240" w:lineRule="auto"/>
        <w:ind w:left="720" w:hanging="720"/>
        <w:rPr>
          <w:rFonts w:ascii="Calibri" w:hAnsi="Calibri"/>
          <w:noProof/>
          <w:sz w:val="22"/>
        </w:rPr>
      </w:pPr>
      <w:hyperlink w:anchor="_Toc462228089" w:history="1">
        <w:r w:rsidRPr="00815EC9">
          <w:rPr>
            <w:b/>
            <w:caps/>
            <w:noProof/>
            <w:color w:val="0000FF"/>
            <w:sz w:val="24"/>
            <w:szCs w:val="24"/>
            <w:u w:val="single"/>
            <w:lang w:eastAsia="en-US"/>
          </w:rPr>
          <w:t>4.</w:t>
        </w:r>
        <w:r w:rsidRPr="00815EC9">
          <w:rPr>
            <w:rFonts w:ascii="Calibri" w:hAnsi="Calibri"/>
            <w:noProof/>
            <w:sz w:val="22"/>
          </w:rPr>
          <w:tab/>
        </w:r>
        <w:r w:rsidRPr="00815EC9">
          <w:rPr>
            <w:b/>
            <w:caps/>
            <w:noProof/>
            <w:color w:val="0000FF"/>
            <w:sz w:val="24"/>
            <w:szCs w:val="24"/>
            <w:u w:val="single"/>
            <w:lang w:eastAsia="en-US"/>
          </w:rPr>
          <w:t>document control</w:t>
        </w:r>
        <w:r w:rsidRPr="00815EC9">
          <w:rPr>
            <w:b/>
            <w:caps/>
            <w:noProof/>
            <w:webHidden/>
            <w:sz w:val="24"/>
            <w:szCs w:val="24"/>
            <w:lang w:eastAsia="en-US"/>
          </w:rPr>
          <w:tab/>
        </w:r>
        <w:r w:rsidRPr="00815EC9">
          <w:rPr>
            <w:b/>
            <w:caps/>
            <w:noProof/>
            <w:webHidden/>
            <w:sz w:val="24"/>
            <w:szCs w:val="24"/>
            <w:lang w:eastAsia="en-US"/>
          </w:rPr>
          <w:fldChar w:fldCharType="begin"/>
        </w:r>
        <w:r w:rsidRPr="00815EC9">
          <w:rPr>
            <w:b/>
            <w:caps/>
            <w:noProof/>
            <w:webHidden/>
            <w:sz w:val="24"/>
            <w:szCs w:val="24"/>
            <w:lang w:eastAsia="en-US"/>
          </w:rPr>
          <w:instrText xml:space="preserve"> PAGEREF _Toc462228089 \h </w:instrText>
        </w:r>
        <w:r w:rsidRPr="00815EC9">
          <w:rPr>
            <w:b/>
            <w:caps/>
            <w:noProof/>
            <w:webHidden/>
            <w:sz w:val="24"/>
            <w:szCs w:val="24"/>
            <w:lang w:eastAsia="en-US"/>
          </w:rPr>
        </w:r>
        <w:r w:rsidRPr="00815EC9">
          <w:rPr>
            <w:b/>
            <w:caps/>
            <w:noProof/>
            <w:webHidden/>
            <w:sz w:val="24"/>
            <w:szCs w:val="24"/>
            <w:lang w:eastAsia="en-US"/>
          </w:rPr>
          <w:fldChar w:fldCharType="separate"/>
        </w:r>
        <w:r w:rsidRPr="00815EC9">
          <w:rPr>
            <w:b/>
            <w:caps/>
            <w:noProof/>
            <w:webHidden/>
            <w:sz w:val="24"/>
            <w:szCs w:val="24"/>
            <w:lang w:eastAsia="en-US"/>
          </w:rPr>
          <w:t>9</w:t>
        </w:r>
        <w:r w:rsidRPr="00815EC9">
          <w:rPr>
            <w:b/>
            <w:caps/>
            <w:noProof/>
            <w:webHidden/>
            <w:sz w:val="24"/>
            <w:szCs w:val="24"/>
            <w:lang w:eastAsia="en-US"/>
          </w:rPr>
          <w:fldChar w:fldCharType="end"/>
        </w:r>
      </w:hyperlink>
    </w:p>
    <w:p w:rsidR="00815EC9" w:rsidRPr="00815EC9" w:rsidRDefault="00815EC9" w:rsidP="00815EC9">
      <w:pPr>
        <w:tabs>
          <w:tab w:val="right" w:leader="dot" w:pos="9017"/>
        </w:tabs>
        <w:spacing w:before="240" w:after="120" w:line="240" w:lineRule="auto"/>
        <w:ind w:left="720" w:hanging="720"/>
        <w:rPr>
          <w:rFonts w:ascii="Calibri" w:hAnsi="Calibri"/>
          <w:noProof/>
          <w:sz w:val="22"/>
        </w:rPr>
      </w:pPr>
      <w:hyperlink w:anchor="_Toc462228090" w:history="1">
        <w:r w:rsidRPr="00815EC9">
          <w:rPr>
            <w:b/>
            <w:caps/>
            <w:noProof/>
            <w:color w:val="0000FF"/>
            <w:sz w:val="24"/>
            <w:szCs w:val="24"/>
            <w:u w:val="single"/>
            <w:lang w:eastAsia="en-US"/>
          </w:rPr>
          <w:t>5.</w:t>
        </w:r>
        <w:r w:rsidRPr="00815EC9">
          <w:rPr>
            <w:rFonts w:ascii="Calibri" w:hAnsi="Calibri"/>
            <w:noProof/>
            <w:sz w:val="22"/>
          </w:rPr>
          <w:tab/>
        </w:r>
        <w:r w:rsidRPr="00815EC9">
          <w:rPr>
            <w:b/>
            <w:caps/>
            <w:noProof/>
            <w:color w:val="0000FF"/>
            <w:sz w:val="24"/>
            <w:szCs w:val="24"/>
            <w:u w:val="single"/>
            <w:lang w:eastAsia="en-US"/>
          </w:rPr>
          <w:t>dissemination and implementation</w:t>
        </w:r>
        <w:r w:rsidRPr="00815EC9">
          <w:rPr>
            <w:b/>
            <w:caps/>
            <w:noProof/>
            <w:webHidden/>
            <w:sz w:val="24"/>
            <w:szCs w:val="24"/>
            <w:lang w:eastAsia="en-US"/>
          </w:rPr>
          <w:tab/>
        </w:r>
        <w:r w:rsidRPr="00815EC9">
          <w:rPr>
            <w:b/>
            <w:caps/>
            <w:noProof/>
            <w:webHidden/>
            <w:sz w:val="24"/>
            <w:szCs w:val="24"/>
            <w:lang w:eastAsia="en-US"/>
          </w:rPr>
          <w:fldChar w:fldCharType="begin"/>
        </w:r>
        <w:r w:rsidRPr="00815EC9">
          <w:rPr>
            <w:b/>
            <w:caps/>
            <w:noProof/>
            <w:webHidden/>
            <w:sz w:val="24"/>
            <w:szCs w:val="24"/>
            <w:lang w:eastAsia="en-US"/>
          </w:rPr>
          <w:instrText xml:space="preserve"> PAGEREF _Toc462228090 \h </w:instrText>
        </w:r>
        <w:r w:rsidRPr="00815EC9">
          <w:rPr>
            <w:b/>
            <w:caps/>
            <w:noProof/>
            <w:webHidden/>
            <w:sz w:val="24"/>
            <w:szCs w:val="24"/>
            <w:lang w:eastAsia="en-US"/>
          </w:rPr>
        </w:r>
        <w:r w:rsidRPr="00815EC9">
          <w:rPr>
            <w:b/>
            <w:caps/>
            <w:noProof/>
            <w:webHidden/>
            <w:sz w:val="24"/>
            <w:szCs w:val="24"/>
            <w:lang w:eastAsia="en-US"/>
          </w:rPr>
          <w:fldChar w:fldCharType="separate"/>
        </w:r>
        <w:r w:rsidRPr="00815EC9">
          <w:rPr>
            <w:b/>
            <w:caps/>
            <w:noProof/>
            <w:webHidden/>
            <w:sz w:val="24"/>
            <w:szCs w:val="24"/>
            <w:lang w:eastAsia="en-US"/>
          </w:rPr>
          <w:t>9</w:t>
        </w:r>
        <w:r w:rsidRPr="00815EC9">
          <w:rPr>
            <w:b/>
            <w:caps/>
            <w:noProof/>
            <w:webHidden/>
            <w:sz w:val="24"/>
            <w:szCs w:val="24"/>
            <w:lang w:eastAsia="en-US"/>
          </w:rPr>
          <w:fldChar w:fldCharType="end"/>
        </w:r>
      </w:hyperlink>
    </w:p>
    <w:p w:rsidR="00815EC9" w:rsidRPr="00815EC9" w:rsidRDefault="00815EC9" w:rsidP="00815EC9">
      <w:pPr>
        <w:tabs>
          <w:tab w:val="right" w:leader="dot" w:pos="9017"/>
        </w:tabs>
        <w:spacing w:before="240" w:after="120" w:line="240" w:lineRule="auto"/>
        <w:ind w:left="720" w:hanging="720"/>
        <w:rPr>
          <w:rFonts w:ascii="Calibri" w:hAnsi="Calibri"/>
          <w:noProof/>
          <w:sz w:val="22"/>
        </w:rPr>
      </w:pPr>
      <w:hyperlink w:anchor="_Toc462228091" w:history="1">
        <w:r w:rsidRPr="00815EC9">
          <w:rPr>
            <w:b/>
            <w:caps/>
            <w:noProof/>
            <w:color w:val="0000FF"/>
            <w:sz w:val="24"/>
            <w:szCs w:val="24"/>
            <w:u w:val="single"/>
            <w:lang w:eastAsia="en-US"/>
          </w:rPr>
          <w:t>6.</w:t>
        </w:r>
        <w:r w:rsidRPr="00815EC9">
          <w:rPr>
            <w:rFonts w:ascii="Calibri" w:hAnsi="Calibri"/>
            <w:noProof/>
            <w:sz w:val="22"/>
          </w:rPr>
          <w:tab/>
        </w:r>
        <w:r w:rsidRPr="00815EC9">
          <w:rPr>
            <w:b/>
            <w:caps/>
            <w:noProof/>
            <w:color w:val="0000FF"/>
            <w:sz w:val="24"/>
            <w:szCs w:val="24"/>
            <w:u w:val="single"/>
            <w:lang w:eastAsia="en-US"/>
          </w:rPr>
          <w:t>Monitoring compliance and effectiveness</w:t>
        </w:r>
        <w:r w:rsidRPr="00815EC9">
          <w:rPr>
            <w:b/>
            <w:caps/>
            <w:noProof/>
            <w:webHidden/>
            <w:sz w:val="24"/>
            <w:szCs w:val="24"/>
            <w:lang w:eastAsia="en-US"/>
          </w:rPr>
          <w:tab/>
        </w:r>
        <w:r w:rsidRPr="00815EC9">
          <w:rPr>
            <w:b/>
            <w:caps/>
            <w:noProof/>
            <w:webHidden/>
            <w:sz w:val="24"/>
            <w:szCs w:val="24"/>
            <w:lang w:eastAsia="en-US"/>
          </w:rPr>
          <w:fldChar w:fldCharType="begin"/>
        </w:r>
        <w:r w:rsidRPr="00815EC9">
          <w:rPr>
            <w:b/>
            <w:caps/>
            <w:noProof/>
            <w:webHidden/>
            <w:sz w:val="24"/>
            <w:szCs w:val="24"/>
            <w:lang w:eastAsia="en-US"/>
          </w:rPr>
          <w:instrText xml:space="preserve"> PAGEREF _Toc462228091 \h </w:instrText>
        </w:r>
        <w:r w:rsidRPr="00815EC9">
          <w:rPr>
            <w:b/>
            <w:caps/>
            <w:noProof/>
            <w:webHidden/>
            <w:sz w:val="24"/>
            <w:szCs w:val="24"/>
            <w:lang w:eastAsia="en-US"/>
          </w:rPr>
        </w:r>
        <w:r w:rsidRPr="00815EC9">
          <w:rPr>
            <w:b/>
            <w:caps/>
            <w:noProof/>
            <w:webHidden/>
            <w:sz w:val="24"/>
            <w:szCs w:val="24"/>
            <w:lang w:eastAsia="en-US"/>
          </w:rPr>
          <w:fldChar w:fldCharType="separate"/>
        </w:r>
        <w:r w:rsidRPr="00815EC9">
          <w:rPr>
            <w:b/>
            <w:caps/>
            <w:noProof/>
            <w:webHidden/>
            <w:sz w:val="24"/>
            <w:szCs w:val="24"/>
            <w:lang w:eastAsia="en-US"/>
          </w:rPr>
          <w:t>9</w:t>
        </w:r>
        <w:r w:rsidRPr="00815EC9">
          <w:rPr>
            <w:b/>
            <w:caps/>
            <w:noProof/>
            <w:webHidden/>
            <w:sz w:val="24"/>
            <w:szCs w:val="24"/>
            <w:lang w:eastAsia="en-US"/>
          </w:rPr>
          <w:fldChar w:fldCharType="end"/>
        </w:r>
      </w:hyperlink>
    </w:p>
    <w:p w:rsidR="00815EC9" w:rsidRPr="00815EC9" w:rsidRDefault="00815EC9" w:rsidP="00815EC9">
      <w:pPr>
        <w:tabs>
          <w:tab w:val="right" w:leader="dot" w:pos="9017"/>
        </w:tabs>
        <w:spacing w:before="240" w:after="120" w:line="240" w:lineRule="auto"/>
        <w:ind w:left="720" w:hanging="720"/>
        <w:rPr>
          <w:rFonts w:ascii="Calibri" w:hAnsi="Calibri"/>
          <w:noProof/>
          <w:sz w:val="22"/>
        </w:rPr>
      </w:pPr>
      <w:hyperlink w:anchor="_Toc462228092" w:history="1">
        <w:r w:rsidRPr="00815EC9">
          <w:rPr>
            <w:b/>
            <w:caps/>
            <w:noProof/>
            <w:color w:val="0000FF"/>
            <w:sz w:val="24"/>
            <w:szCs w:val="24"/>
            <w:u w:val="single"/>
            <w:lang w:eastAsia="en-US"/>
          </w:rPr>
          <w:t>7.</w:t>
        </w:r>
        <w:r w:rsidRPr="00815EC9">
          <w:rPr>
            <w:rFonts w:ascii="Calibri" w:hAnsi="Calibri"/>
            <w:noProof/>
            <w:sz w:val="22"/>
          </w:rPr>
          <w:tab/>
        </w:r>
        <w:r w:rsidRPr="00815EC9">
          <w:rPr>
            <w:b/>
            <w:caps/>
            <w:noProof/>
            <w:color w:val="0000FF"/>
            <w:sz w:val="24"/>
            <w:szCs w:val="24"/>
            <w:u w:val="single"/>
            <w:lang w:eastAsia="en-US"/>
          </w:rPr>
          <w:t>Reference DOCUMENTS</w:t>
        </w:r>
        <w:r w:rsidRPr="00815EC9">
          <w:rPr>
            <w:b/>
            <w:caps/>
            <w:noProof/>
            <w:webHidden/>
            <w:sz w:val="24"/>
            <w:szCs w:val="24"/>
            <w:lang w:eastAsia="en-US"/>
          </w:rPr>
          <w:tab/>
        </w:r>
        <w:r w:rsidRPr="00815EC9">
          <w:rPr>
            <w:b/>
            <w:caps/>
            <w:noProof/>
            <w:webHidden/>
            <w:sz w:val="24"/>
            <w:szCs w:val="24"/>
            <w:lang w:eastAsia="en-US"/>
          </w:rPr>
          <w:fldChar w:fldCharType="begin"/>
        </w:r>
        <w:r w:rsidRPr="00815EC9">
          <w:rPr>
            <w:b/>
            <w:caps/>
            <w:noProof/>
            <w:webHidden/>
            <w:sz w:val="24"/>
            <w:szCs w:val="24"/>
            <w:lang w:eastAsia="en-US"/>
          </w:rPr>
          <w:instrText xml:space="preserve"> PAGEREF _Toc462228092 \h </w:instrText>
        </w:r>
        <w:r w:rsidRPr="00815EC9">
          <w:rPr>
            <w:b/>
            <w:caps/>
            <w:noProof/>
            <w:webHidden/>
            <w:sz w:val="24"/>
            <w:szCs w:val="24"/>
            <w:lang w:eastAsia="en-US"/>
          </w:rPr>
        </w:r>
        <w:r w:rsidRPr="00815EC9">
          <w:rPr>
            <w:b/>
            <w:caps/>
            <w:noProof/>
            <w:webHidden/>
            <w:sz w:val="24"/>
            <w:szCs w:val="24"/>
            <w:lang w:eastAsia="en-US"/>
          </w:rPr>
          <w:fldChar w:fldCharType="separate"/>
        </w:r>
        <w:r w:rsidRPr="00815EC9">
          <w:rPr>
            <w:b/>
            <w:caps/>
            <w:noProof/>
            <w:webHidden/>
            <w:sz w:val="24"/>
            <w:szCs w:val="24"/>
            <w:lang w:eastAsia="en-US"/>
          </w:rPr>
          <w:t>10</w:t>
        </w:r>
        <w:r w:rsidRPr="00815EC9">
          <w:rPr>
            <w:b/>
            <w:caps/>
            <w:noProof/>
            <w:webHidden/>
            <w:sz w:val="24"/>
            <w:szCs w:val="24"/>
            <w:lang w:eastAsia="en-US"/>
          </w:rPr>
          <w:fldChar w:fldCharType="end"/>
        </w:r>
      </w:hyperlink>
    </w:p>
    <w:p w:rsidR="00815EC9" w:rsidRPr="00815EC9" w:rsidRDefault="00815EC9" w:rsidP="00815EC9">
      <w:pPr>
        <w:tabs>
          <w:tab w:val="right" w:leader="dot" w:pos="9017"/>
        </w:tabs>
        <w:spacing w:before="240" w:after="120" w:line="240" w:lineRule="auto"/>
        <w:ind w:left="720" w:hanging="720"/>
        <w:rPr>
          <w:rFonts w:ascii="Calibri" w:hAnsi="Calibri"/>
          <w:noProof/>
          <w:sz w:val="22"/>
        </w:rPr>
      </w:pPr>
      <w:hyperlink w:anchor="_Toc462228093" w:history="1">
        <w:r w:rsidRPr="00815EC9">
          <w:rPr>
            <w:b/>
            <w:caps/>
            <w:noProof/>
            <w:color w:val="0000FF"/>
            <w:sz w:val="24"/>
            <w:szCs w:val="24"/>
            <w:u w:val="single"/>
            <w:lang w:eastAsia="en-US"/>
          </w:rPr>
          <w:t>8.</w:t>
        </w:r>
        <w:r w:rsidRPr="00815EC9">
          <w:rPr>
            <w:rFonts w:ascii="Calibri" w:hAnsi="Calibri"/>
            <w:noProof/>
            <w:sz w:val="22"/>
          </w:rPr>
          <w:tab/>
        </w:r>
        <w:r w:rsidRPr="00815EC9">
          <w:rPr>
            <w:b/>
            <w:caps/>
            <w:noProof/>
            <w:color w:val="0000FF"/>
            <w:sz w:val="24"/>
            <w:szCs w:val="24"/>
            <w:u w:val="single"/>
            <w:lang w:eastAsia="en-US"/>
          </w:rPr>
          <w:t>Appendices</w:t>
        </w:r>
        <w:r w:rsidRPr="00815EC9">
          <w:rPr>
            <w:b/>
            <w:caps/>
            <w:noProof/>
            <w:webHidden/>
            <w:sz w:val="24"/>
            <w:szCs w:val="24"/>
            <w:lang w:eastAsia="en-US"/>
          </w:rPr>
          <w:tab/>
        </w:r>
        <w:r w:rsidRPr="00815EC9">
          <w:rPr>
            <w:b/>
            <w:caps/>
            <w:noProof/>
            <w:webHidden/>
            <w:sz w:val="24"/>
            <w:szCs w:val="24"/>
            <w:lang w:eastAsia="en-US"/>
          </w:rPr>
          <w:fldChar w:fldCharType="begin"/>
        </w:r>
        <w:r w:rsidRPr="00815EC9">
          <w:rPr>
            <w:b/>
            <w:caps/>
            <w:noProof/>
            <w:webHidden/>
            <w:sz w:val="24"/>
            <w:szCs w:val="24"/>
            <w:lang w:eastAsia="en-US"/>
          </w:rPr>
          <w:instrText xml:space="preserve"> PAGEREF _Toc462228093 \h </w:instrText>
        </w:r>
        <w:r w:rsidRPr="00815EC9">
          <w:rPr>
            <w:b/>
            <w:caps/>
            <w:noProof/>
            <w:webHidden/>
            <w:sz w:val="24"/>
            <w:szCs w:val="24"/>
            <w:lang w:eastAsia="en-US"/>
          </w:rPr>
        </w:r>
        <w:r w:rsidRPr="00815EC9">
          <w:rPr>
            <w:b/>
            <w:caps/>
            <w:noProof/>
            <w:webHidden/>
            <w:sz w:val="24"/>
            <w:szCs w:val="24"/>
            <w:lang w:eastAsia="en-US"/>
          </w:rPr>
          <w:fldChar w:fldCharType="separate"/>
        </w:r>
        <w:r w:rsidRPr="00815EC9">
          <w:rPr>
            <w:b/>
            <w:caps/>
            <w:noProof/>
            <w:webHidden/>
            <w:sz w:val="24"/>
            <w:szCs w:val="24"/>
            <w:lang w:eastAsia="en-US"/>
          </w:rPr>
          <w:t>11</w:t>
        </w:r>
        <w:r w:rsidRPr="00815EC9">
          <w:rPr>
            <w:b/>
            <w:caps/>
            <w:noProof/>
            <w:webHidden/>
            <w:sz w:val="24"/>
            <w:szCs w:val="24"/>
            <w:lang w:eastAsia="en-US"/>
          </w:rPr>
          <w:fldChar w:fldCharType="end"/>
        </w:r>
      </w:hyperlink>
    </w:p>
    <w:p w:rsidR="00815EC9" w:rsidRPr="00815EC9" w:rsidRDefault="00815EC9" w:rsidP="00815EC9">
      <w:pPr>
        <w:tabs>
          <w:tab w:val="left" w:pos="1440"/>
          <w:tab w:val="right" w:leader="dot" w:pos="9017"/>
        </w:tabs>
        <w:spacing w:after="60" w:line="240" w:lineRule="auto"/>
        <w:ind w:left="1440" w:hanging="720"/>
        <w:rPr>
          <w:rFonts w:ascii="Calibri" w:hAnsi="Calibri"/>
          <w:noProof/>
          <w:sz w:val="22"/>
        </w:rPr>
      </w:pPr>
      <w:hyperlink w:anchor="_Toc462228094" w:history="1">
        <w:r w:rsidRPr="00815EC9">
          <w:rPr>
            <w:noProof/>
            <w:color w:val="0000FF"/>
            <w:sz w:val="24"/>
            <w:szCs w:val="24"/>
            <w:u w:val="single"/>
            <w:lang w:eastAsia="en-US"/>
          </w:rPr>
          <w:t>8.1.</w:t>
        </w:r>
        <w:r w:rsidRPr="00815EC9">
          <w:rPr>
            <w:rFonts w:ascii="Calibri" w:hAnsi="Calibri"/>
            <w:noProof/>
            <w:sz w:val="22"/>
          </w:rPr>
          <w:tab/>
        </w:r>
        <w:r w:rsidRPr="00815EC9">
          <w:rPr>
            <w:noProof/>
            <w:color w:val="0000FF"/>
            <w:sz w:val="24"/>
            <w:szCs w:val="24"/>
            <w:u w:val="single"/>
            <w:lang w:eastAsia="en-US"/>
          </w:rPr>
          <w:t>Consultation Summary</w:t>
        </w:r>
        <w:r w:rsidRPr="00815EC9">
          <w:rPr>
            <w:noProof/>
            <w:webHidden/>
            <w:sz w:val="24"/>
            <w:szCs w:val="24"/>
            <w:lang w:eastAsia="en-US"/>
          </w:rPr>
          <w:tab/>
        </w:r>
        <w:r w:rsidRPr="00815EC9">
          <w:rPr>
            <w:noProof/>
            <w:webHidden/>
            <w:sz w:val="24"/>
            <w:szCs w:val="24"/>
            <w:lang w:eastAsia="en-US"/>
          </w:rPr>
          <w:fldChar w:fldCharType="begin"/>
        </w:r>
        <w:r w:rsidRPr="00815EC9">
          <w:rPr>
            <w:noProof/>
            <w:webHidden/>
            <w:sz w:val="24"/>
            <w:szCs w:val="24"/>
            <w:lang w:eastAsia="en-US"/>
          </w:rPr>
          <w:instrText xml:space="preserve"> PAGEREF _Toc462228094 \h </w:instrText>
        </w:r>
        <w:r w:rsidRPr="00815EC9">
          <w:rPr>
            <w:noProof/>
            <w:webHidden/>
            <w:sz w:val="24"/>
            <w:szCs w:val="24"/>
            <w:lang w:eastAsia="en-US"/>
          </w:rPr>
        </w:r>
        <w:r w:rsidRPr="00815EC9">
          <w:rPr>
            <w:noProof/>
            <w:webHidden/>
            <w:sz w:val="24"/>
            <w:szCs w:val="24"/>
            <w:lang w:eastAsia="en-US"/>
          </w:rPr>
          <w:fldChar w:fldCharType="separate"/>
        </w:r>
        <w:r w:rsidRPr="00815EC9">
          <w:rPr>
            <w:noProof/>
            <w:webHidden/>
            <w:sz w:val="24"/>
            <w:szCs w:val="24"/>
            <w:lang w:eastAsia="en-US"/>
          </w:rPr>
          <w:t>11</w:t>
        </w:r>
        <w:r w:rsidRPr="00815EC9">
          <w:rPr>
            <w:noProof/>
            <w:webHidden/>
            <w:sz w:val="24"/>
            <w:szCs w:val="24"/>
            <w:lang w:eastAsia="en-US"/>
          </w:rPr>
          <w:fldChar w:fldCharType="end"/>
        </w:r>
      </w:hyperlink>
    </w:p>
    <w:p w:rsidR="00815EC9" w:rsidRPr="00815EC9" w:rsidRDefault="00815EC9" w:rsidP="00815EC9">
      <w:pPr>
        <w:spacing w:line="240" w:lineRule="auto"/>
        <w:rPr>
          <w:sz w:val="24"/>
          <w:szCs w:val="24"/>
          <w:lang w:eastAsia="en-US"/>
        </w:rPr>
      </w:pPr>
      <w:r w:rsidRPr="00815EC9">
        <w:rPr>
          <w:sz w:val="24"/>
          <w:szCs w:val="24"/>
          <w:lang w:eastAsia="en-US"/>
        </w:rPr>
        <w:fldChar w:fldCharType="end"/>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p>
    <w:p w:rsidR="00815EC9" w:rsidRPr="00815EC9" w:rsidRDefault="00815EC9" w:rsidP="00815EC9">
      <w:pPr>
        <w:keepNext/>
        <w:numPr>
          <w:ilvl w:val="0"/>
          <w:numId w:val="2"/>
        </w:numPr>
        <w:spacing w:before="240" w:after="60" w:line="240" w:lineRule="auto"/>
        <w:jc w:val="both"/>
        <w:outlineLvl w:val="0"/>
        <w:rPr>
          <w:rFonts w:cs="Arial"/>
          <w:b/>
          <w:bCs/>
          <w:caps/>
          <w:kern w:val="32"/>
          <w:sz w:val="28"/>
          <w:szCs w:val="28"/>
          <w:lang w:eastAsia="en-US"/>
        </w:rPr>
      </w:pPr>
      <w:bookmarkStart w:id="1" w:name="_Toc229465295"/>
      <w:bookmarkStart w:id="2" w:name="_Toc232567672"/>
      <w:r w:rsidRPr="00815EC9">
        <w:rPr>
          <w:rFonts w:cs="Arial"/>
          <w:b/>
          <w:bCs/>
          <w:caps/>
          <w:kern w:val="32"/>
          <w:sz w:val="28"/>
          <w:szCs w:val="28"/>
          <w:lang w:eastAsia="en-US"/>
        </w:rPr>
        <w:br w:type="page"/>
      </w:r>
      <w:bookmarkStart w:id="3" w:name="_Toc462228084"/>
      <w:r w:rsidRPr="00815EC9">
        <w:rPr>
          <w:rFonts w:cs="Arial"/>
          <w:b/>
          <w:bCs/>
          <w:caps/>
          <w:kern w:val="32"/>
          <w:sz w:val="28"/>
          <w:szCs w:val="28"/>
          <w:lang w:eastAsia="en-US"/>
        </w:rPr>
        <w:lastRenderedPageBreak/>
        <w:t>Introduction</w:t>
      </w:r>
      <w:bookmarkEnd w:id="1"/>
      <w:bookmarkEnd w:id="2"/>
      <w:bookmarkEnd w:id="3"/>
    </w:p>
    <w:p w:rsidR="00815EC9" w:rsidRPr="00815EC9" w:rsidRDefault="00815EC9" w:rsidP="00815EC9">
      <w:pPr>
        <w:keepNext/>
        <w:numPr>
          <w:ilvl w:val="1"/>
          <w:numId w:val="0"/>
        </w:numPr>
        <w:tabs>
          <w:tab w:val="num" w:pos="720"/>
        </w:tabs>
        <w:spacing w:before="240" w:after="60" w:line="240" w:lineRule="auto"/>
        <w:ind w:left="720" w:hanging="720"/>
        <w:outlineLvl w:val="1"/>
        <w:rPr>
          <w:rFonts w:cs="Arial"/>
          <w:b/>
          <w:bCs/>
          <w:iCs/>
          <w:sz w:val="24"/>
          <w:szCs w:val="28"/>
          <w:lang w:eastAsia="en-US"/>
        </w:rPr>
      </w:pPr>
      <w:bookmarkStart w:id="4" w:name="_Toc229465296"/>
      <w:bookmarkStart w:id="5" w:name="_Toc232567673"/>
      <w:bookmarkStart w:id="6" w:name="_Toc462228085"/>
      <w:r w:rsidRPr="00815EC9">
        <w:rPr>
          <w:rFonts w:cs="Arial"/>
          <w:b/>
          <w:bCs/>
          <w:iCs/>
          <w:sz w:val="24"/>
          <w:szCs w:val="28"/>
          <w:lang w:eastAsia="en-US"/>
        </w:rPr>
        <w:t>Purpose</w:t>
      </w:r>
      <w:bookmarkEnd w:id="4"/>
      <w:bookmarkEnd w:id="5"/>
      <w:bookmarkEnd w:id="6"/>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 xml:space="preserve">Patients with chronic lymphocytic leukaemia (CLL) are at increased risk of a number of bacterial infections, including those caused by </w:t>
      </w:r>
      <w:r w:rsidRPr="00815EC9">
        <w:rPr>
          <w:rFonts w:cs="Arial"/>
          <w:i/>
          <w:sz w:val="24"/>
          <w:szCs w:val="24"/>
          <w:lang w:eastAsia="en-US"/>
        </w:rPr>
        <w:t>Staphylococcus aureus</w:t>
      </w:r>
      <w:r w:rsidRPr="00815EC9">
        <w:rPr>
          <w:rFonts w:cs="Arial"/>
          <w:sz w:val="24"/>
          <w:szCs w:val="24"/>
          <w:lang w:eastAsia="en-US"/>
        </w:rPr>
        <w:t xml:space="preserve">, </w:t>
      </w:r>
      <w:r w:rsidRPr="00815EC9">
        <w:rPr>
          <w:rFonts w:cs="Arial"/>
          <w:i/>
          <w:sz w:val="24"/>
          <w:szCs w:val="24"/>
          <w:lang w:eastAsia="en-US"/>
        </w:rPr>
        <w:t>Streptococcus pneumoniae</w:t>
      </w:r>
      <w:r w:rsidRPr="00815EC9">
        <w:rPr>
          <w:rFonts w:cs="Arial"/>
          <w:sz w:val="24"/>
          <w:szCs w:val="24"/>
          <w:lang w:eastAsia="en-US"/>
        </w:rPr>
        <w:t xml:space="preserve">, </w:t>
      </w:r>
      <w:r w:rsidRPr="00815EC9">
        <w:rPr>
          <w:rFonts w:cs="Arial"/>
          <w:i/>
          <w:sz w:val="24"/>
          <w:szCs w:val="24"/>
          <w:lang w:eastAsia="en-US"/>
        </w:rPr>
        <w:t>Pseudomonas aeruginosa</w:t>
      </w:r>
      <w:r w:rsidRPr="00815EC9">
        <w:rPr>
          <w:rFonts w:cs="Arial"/>
          <w:sz w:val="24"/>
          <w:szCs w:val="24"/>
          <w:lang w:eastAsia="en-US"/>
        </w:rPr>
        <w:t xml:space="preserve"> and enteric Gram-negative bacilli (</w:t>
      </w:r>
      <w:proofErr w:type="spellStart"/>
      <w:r w:rsidRPr="00815EC9">
        <w:rPr>
          <w:rFonts w:cs="Arial"/>
          <w:sz w:val="24"/>
          <w:szCs w:val="24"/>
          <w:lang w:eastAsia="en-US"/>
        </w:rPr>
        <w:t>Itala</w:t>
      </w:r>
      <w:proofErr w:type="spellEnd"/>
      <w:r w:rsidRPr="00815EC9">
        <w:rPr>
          <w:rFonts w:cs="Arial"/>
          <w:sz w:val="24"/>
          <w:szCs w:val="24"/>
          <w:lang w:eastAsia="en-US"/>
        </w:rPr>
        <w:t xml:space="preserve"> </w:t>
      </w:r>
      <w:r w:rsidRPr="00815EC9">
        <w:rPr>
          <w:rFonts w:cs="Arial"/>
          <w:i/>
          <w:sz w:val="24"/>
          <w:szCs w:val="24"/>
          <w:lang w:eastAsia="en-US"/>
        </w:rPr>
        <w:t>et al.</w:t>
      </w:r>
      <w:r w:rsidRPr="00815EC9">
        <w:rPr>
          <w:rFonts w:cs="Arial"/>
          <w:sz w:val="24"/>
          <w:szCs w:val="24"/>
          <w:lang w:eastAsia="en-US"/>
        </w:rPr>
        <w:t xml:space="preserve"> 1992, Whitaker </w:t>
      </w:r>
      <w:r w:rsidRPr="00815EC9">
        <w:rPr>
          <w:rFonts w:cs="Arial"/>
          <w:i/>
          <w:sz w:val="24"/>
          <w:szCs w:val="24"/>
          <w:lang w:eastAsia="en-US"/>
        </w:rPr>
        <w:t xml:space="preserve">et al. </w:t>
      </w:r>
      <w:r w:rsidRPr="00815EC9">
        <w:rPr>
          <w:rFonts w:cs="Arial"/>
          <w:sz w:val="24"/>
          <w:szCs w:val="24"/>
          <w:lang w:eastAsia="en-US"/>
        </w:rPr>
        <w:t>2014).</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 xml:space="preserve">There is no evidence that the rate and/or severity of viral infections with respiratory viruses such as influenza is greater than that of control populations, although it is accepted practice to vaccinate such patients against influenza (Whitaker </w:t>
      </w:r>
      <w:r w:rsidRPr="00815EC9">
        <w:rPr>
          <w:rFonts w:cs="Arial"/>
          <w:i/>
          <w:sz w:val="24"/>
          <w:szCs w:val="24"/>
          <w:lang w:eastAsia="en-US"/>
        </w:rPr>
        <w:t>et al</w:t>
      </w:r>
      <w:r w:rsidRPr="00815EC9">
        <w:rPr>
          <w:rFonts w:cs="Arial"/>
          <w:sz w:val="24"/>
          <w:szCs w:val="24"/>
          <w:lang w:eastAsia="en-US"/>
        </w:rPr>
        <w:t xml:space="preserve">. 2014, </w:t>
      </w:r>
      <w:proofErr w:type="spellStart"/>
      <w:r w:rsidRPr="00815EC9">
        <w:rPr>
          <w:rFonts w:cs="Arial"/>
          <w:sz w:val="24"/>
          <w:szCs w:val="24"/>
          <w:lang w:eastAsia="en-US"/>
        </w:rPr>
        <w:t>Sinisalo</w:t>
      </w:r>
      <w:proofErr w:type="spellEnd"/>
      <w:r w:rsidRPr="00815EC9">
        <w:rPr>
          <w:rFonts w:cs="Arial"/>
          <w:sz w:val="24"/>
          <w:szCs w:val="24"/>
          <w:lang w:eastAsia="en-US"/>
        </w:rPr>
        <w:t xml:space="preserve"> </w:t>
      </w:r>
      <w:r w:rsidRPr="00815EC9">
        <w:rPr>
          <w:rFonts w:cs="Arial"/>
          <w:i/>
          <w:sz w:val="24"/>
          <w:szCs w:val="24"/>
          <w:lang w:eastAsia="en-US"/>
        </w:rPr>
        <w:t>et al.</w:t>
      </w:r>
      <w:r w:rsidRPr="00815EC9">
        <w:rPr>
          <w:rFonts w:cs="Arial"/>
          <w:sz w:val="24"/>
          <w:szCs w:val="24"/>
          <w:lang w:eastAsia="en-US"/>
        </w:rPr>
        <w:t xml:space="preserve"> 2003, Green Book Chapter 7).</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 xml:space="preserve">Patients diagnosed with monoclonal B-cell lymphocytosis (MBL) are at approximately three-fold higher risk of hospitalisation with infection compared with a control population, and at a similar risk to patients with CLL (Moreira </w:t>
      </w:r>
      <w:r w:rsidRPr="00815EC9">
        <w:rPr>
          <w:rFonts w:cs="Arial"/>
          <w:i/>
          <w:sz w:val="24"/>
          <w:szCs w:val="24"/>
          <w:lang w:eastAsia="en-US"/>
        </w:rPr>
        <w:t>et al.</w:t>
      </w:r>
      <w:r w:rsidRPr="00815EC9">
        <w:rPr>
          <w:rFonts w:cs="Arial"/>
          <w:sz w:val="24"/>
          <w:szCs w:val="24"/>
          <w:lang w:eastAsia="en-US"/>
        </w:rPr>
        <w:t xml:space="preserve"> 2013).</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 xml:space="preserve">It was previously accepted that the predisposition to infection was mediated by immunoglobulin (Ig) deficiency. However, recent studies have shown that MBL/CLL patients are at increased risk of infection even if they have normal immunoglobulin levels (Moreira </w:t>
      </w:r>
      <w:r w:rsidRPr="00815EC9">
        <w:rPr>
          <w:rFonts w:cs="Arial"/>
          <w:i/>
          <w:sz w:val="24"/>
          <w:szCs w:val="24"/>
          <w:lang w:eastAsia="en-US"/>
        </w:rPr>
        <w:t>et al.</w:t>
      </w:r>
      <w:r w:rsidRPr="00815EC9">
        <w:rPr>
          <w:rFonts w:cs="Arial"/>
          <w:sz w:val="24"/>
          <w:szCs w:val="24"/>
          <w:lang w:eastAsia="en-US"/>
        </w:rPr>
        <w:t xml:space="preserve"> 2013).</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There are at least three guidelines in existence which are relevant to immunisation in CLL:</w:t>
      </w:r>
    </w:p>
    <w:p w:rsidR="00815EC9" w:rsidRPr="00815EC9" w:rsidRDefault="00815EC9" w:rsidP="00815EC9">
      <w:pPr>
        <w:numPr>
          <w:ilvl w:val="0"/>
          <w:numId w:val="4"/>
        </w:numPr>
        <w:spacing w:line="240" w:lineRule="auto"/>
        <w:jc w:val="both"/>
        <w:rPr>
          <w:rFonts w:cs="Arial"/>
          <w:sz w:val="24"/>
          <w:szCs w:val="24"/>
          <w:lang w:eastAsia="en-US"/>
        </w:rPr>
      </w:pPr>
      <w:r w:rsidRPr="00815EC9">
        <w:rPr>
          <w:rFonts w:cs="Arial"/>
          <w:sz w:val="24"/>
          <w:szCs w:val="24"/>
          <w:lang w:eastAsia="en-US"/>
        </w:rPr>
        <w:t>British Committee for Standards in Haematology (</w:t>
      </w:r>
      <w:proofErr w:type="spellStart"/>
      <w:r w:rsidRPr="00815EC9">
        <w:rPr>
          <w:rFonts w:cs="Arial"/>
          <w:sz w:val="24"/>
          <w:szCs w:val="24"/>
          <w:lang w:eastAsia="en-US"/>
        </w:rPr>
        <w:t>Oscier</w:t>
      </w:r>
      <w:proofErr w:type="spellEnd"/>
      <w:r w:rsidRPr="00815EC9">
        <w:rPr>
          <w:rFonts w:cs="Arial"/>
          <w:sz w:val="24"/>
          <w:szCs w:val="24"/>
          <w:lang w:eastAsia="en-US"/>
        </w:rPr>
        <w:t xml:space="preserve"> </w:t>
      </w:r>
      <w:r w:rsidRPr="00815EC9">
        <w:rPr>
          <w:rFonts w:cs="Arial"/>
          <w:i/>
          <w:sz w:val="24"/>
          <w:szCs w:val="24"/>
          <w:lang w:eastAsia="en-US"/>
        </w:rPr>
        <w:t xml:space="preserve">et al. </w:t>
      </w:r>
      <w:r w:rsidRPr="00815EC9">
        <w:rPr>
          <w:rFonts w:cs="Arial"/>
          <w:sz w:val="24"/>
          <w:szCs w:val="24"/>
          <w:lang w:eastAsia="en-US"/>
        </w:rPr>
        <w:t>2012)</w:t>
      </w:r>
    </w:p>
    <w:p w:rsidR="00815EC9" w:rsidRPr="00815EC9" w:rsidRDefault="00815EC9" w:rsidP="00815EC9">
      <w:pPr>
        <w:numPr>
          <w:ilvl w:val="0"/>
          <w:numId w:val="4"/>
        </w:numPr>
        <w:spacing w:line="240" w:lineRule="auto"/>
        <w:jc w:val="both"/>
        <w:rPr>
          <w:rFonts w:cs="Arial"/>
          <w:sz w:val="24"/>
          <w:szCs w:val="24"/>
          <w:lang w:eastAsia="en-US"/>
        </w:rPr>
      </w:pPr>
      <w:r w:rsidRPr="00815EC9">
        <w:rPr>
          <w:rFonts w:cs="Arial"/>
          <w:sz w:val="24"/>
          <w:szCs w:val="24"/>
          <w:lang w:eastAsia="en-US"/>
        </w:rPr>
        <w:t xml:space="preserve">Infectious Diseases Society of America (Rubin </w:t>
      </w:r>
      <w:r w:rsidRPr="00815EC9">
        <w:rPr>
          <w:rFonts w:cs="Arial"/>
          <w:i/>
          <w:sz w:val="24"/>
          <w:szCs w:val="24"/>
          <w:lang w:eastAsia="en-US"/>
        </w:rPr>
        <w:t xml:space="preserve">et al. </w:t>
      </w:r>
      <w:r w:rsidRPr="00815EC9">
        <w:rPr>
          <w:rFonts w:cs="Arial"/>
          <w:sz w:val="24"/>
          <w:szCs w:val="24"/>
          <w:lang w:eastAsia="en-US"/>
        </w:rPr>
        <w:t xml:space="preserve">2013) </w:t>
      </w:r>
    </w:p>
    <w:p w:rsidR="00815EC9" w:rsidRPr="00815EC9" w:rsidRDefault="00815EC9" w:rsidP="00815EC9">
      <w:pPr>
        <w:numPr>
          <w:ilvl w:val="0"/>
          <w:numId w:val="4"/>
        </w:numPr>
        <w:spacing w:line="240" w:lineRule="auto"/>
        <w:jc w:val="both"/>
        <w:rPr>
          <w:rFonts w:cs="Arial"/>
          <w:sz w:val="24"/>
          <w:szCs w:val="24"/>
          <w:lang w:eastAsia="en-US"/>
        </w:rPr>
      </w:pPr>
      <w:r w:rsidRPr="00815EC9">
        <w:rPr>
          <w:rFonts w:cs="Arial"/>
          <w:sz w:val="24"/>
          <w:szCs w:val="24"/>
          <w:lang w:eastAsia="en-US"/>
        </w:rPr>
        <w:t xml:space="preserve">CDC Advisory Committee on Immunization Practices (Bennett </w:t>
      </w:r>
      <w:r w:rsidRPr="00815EC9">
        <w:rPr>
          <w:rFonts w:cs="Arial"/>
          <w:i/>
          <w:sz w:val="24"/>
          <w:szCs w:val="24"/>
          <w:lang w:eastAsia="en-US"/>
        </w:rPr>
        <w:t xml:space="preserve">et al. </w:t>
      </w:r>
      <w:r w:rsidRPr="00815EC9">
        <w:rPr>
          <w:rFonts w:cs="Arial"/>
          <w:sz w:val="24"/>
          <w:szCs w:val="24"/>
          <w:lang w:eastAsia="en-US"/>
        </w:rPr>
        <w:t xml:space="preserve">2012). </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These are referred to throughout this document as the BCSH, IDSA and ACIP guideline respectively.</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The BCSH guideline states that there are no randomized studies showing that vaccination of any type alters infection rates or outcomes from acquired infections in CLL patients. However, it makes the following recommendations, all at B2 level (B = moderate quality of evidence, 2 = weak recommendation):</w:t>
      </w:r>
    </w:p>
    <w:p w:rsidR="00815EC9" w:rsidRPr="00815EC9" w:rsidRDefault="00815EC9" w:rsidP="00815EC9">
      <w:pPr>
        <w:numPr>
          <w:ilvl w:val="0"/>
          <w:numId w:val="3"/>
        </w:numPr>
        <w:spacing w:line="240" w:lineRule="auto"/>
        <w:contextualSpacing/>
        <w:jc w:val="both"/>
        <w:rPr>
          <w:rFonts w:eastAsia="Calibri" w:cs="Arial"/>
          <w:sz w:val="24"/>
          <w:szCs w:val="24"/>
          <w:lang w:eastAsia="en-US"/>
        </w:rPr>
      </w:pPr>
      <w:r w:rsidRPr="00815EC9">
        <w:rPr>
          <w:rFonts w:eastAsia="Calibri" w:cs="Arial"/>
          <w:sz w:val="24"/>
          <w:szCs w:val="24"/>
          <w:lang w:eastAsia="en-US"/>
        </w:rPr>
        <w:t xml:space="preserve">Vaccination against </w:t>
      </w:r>
      <w:r w:rsidRPr="00815EC9">
        <w:rPr>
          <w:rFonts w:eastAsia="Calibri" w:cs="Arial"/>
          <w:i/>
          <w:sz w:val="24"/>
          <w:szCs w:val="24"/>
          <w:lang w:eastAsia="en-US"/>
        </w:rPr>
        <w:t xml:space="preserve">Streptococcus pneumoniae </w:t>
      </w:r>
      <w:r w:rsidRPr="00815EC9">
        <w:rPr>
          <w:rFonts w:eastAsia="Calibri" w:cs="Arial"/>
          <w:sz w:val="24"/>
          <w:szCs w:val="24"/>
          <w:lang w:eastAsia="en-US"/>
        </w:rPr>
        <w:t xml:space="preserve">(using a conjugate vaccine) and </w:t>
      </w:r>
      <w:r w:rsidRPr="00815EC9">
        <w:rPr>
          <w:rFonts w:eastAsia="Calibri" w:cs="Arial"/>
          <w:i/>
          <w:sz w:val="24"/>
          <w:szCs w:val="24"/>
          <w:lang w:eastAsia="en-US"/>
        </w:rPr>
        <w:t xml:space="preserve">Haemophilus </w:t>
      </w:r>
      <w:proofErr w:type="spellStart"/>
      <w:r w:rsidRPr="00815EC9">
        <w:rPr>
          <w:rFonts w:eastAsia="Calibri" w:cs="Arial"/>
          <w:i/>
          <w:sz w:val="24"/>
          <w:szCs w:val="24"/>
          <w:lang w:eastAsia="en-US"/>
        </w:rPr>
        <w:t>influenzae</w:t>
      </w:r>
      <w:proofErr w:type="spellEnd"/>
      <w:r w:rsidRPr="00815EC9">
        <w:rPr>
          <w:rFonts w:eastAsia="Calibri" w:cs="Arial"/>
          <w:sz w:val="24"/>
          <w:szCs w:val="24"/>
          <w:lang w:eastAsia="en-US"/>
        </w:rPr>
        <w:t xml:space="preserve"> type B (Hib) is recommended at diagnosis. Patients who respond to vaccination and subsequently develop recurrent bacterial infections should be revaccinated if </w:t>
      </w:r>
      <w:r w:rsidRPr="00815EC9">
        <w:rPr>
          <w:rFonts w:eastAsia="Calibri" w:cs="Arial"/>
          <w:i/>
          <w:sz w:val="24"/>
          <w:szCs w:val="24"/>
          <w:lang w:eastAsia="en-US"/>
        </w:rPr>
        <w:t>S. pneumoniae</w:t>
      </w:r>
      <w:r w:rsidRPr="00815EC9">
        <w:rPr>
          <w:rFonts w:eastAsia="Calibri" w:cs="Arial"/>
          <w:sz w:val="24"/>
          <w:szCs w:val="24"/>
          <w:lang w:eastAsia="en-US"/>
        </w:rPr>
        <w:t xml:space="preserve"> and Hib antibody levels have fallen.</w:t>
      </w:r>
    </w:p>
    <w:p w:rsidR="00815EC9" w:rsidRPr="00815EC9" w:rsidRDefault="00815EC9" w:rsidP="00815EC9">
      <w:pPr>
        <w:numPr>
          <w:ilvl w:val="0"/>
          <w:numId w:val="3"/>
        </w:numPr>
        <w:spacing w:line="240" w:lineRule="auto"/>
        <w:contextualSpacing/>
        <w:jc w:val="both"/>
        <w:rPr>
          <w:rFonts w:eastAsia="Calibri" w:cs="Arial"/>
          <w:sz w:val="24"/>
          <w:szCs w:val="24"/>
          <w:lang w:eastAsia="en-US"/>
        </w:rPr>
      </w:pPr>
      <w:r w:rsidRPr="00815EC9">
        <w:rPr>
          <w:rFonts w:eastAsia="Calibri" w:cs="Arial"/>
          <w:sz w:val="24"/>
          <w:szCs w:val="24"/>
          <w:lang w:eastAsia="en-US"/>
        </w:rPr>
        <w:t>Annual vaccination against seasonal influenza and novel strains is recommended.</w:t>
      </w:r>
    </w:p>
    <w:p w:rsidR="00815EC9" w:rsidRPr="00815EC9" w:rsidRDefault="00815EC9" w:rsidP="00815EC9">
      <w:pPr>
        <w:numPr>
          <w:ilvl w:val="0"/>
          <w:numId w:val="3"/>
        </w:numPr>
        <w:spacing w:line="240" w:lineRule="auto"/>
        <w:contextualSpacing/>
        <w:jc w:val="both"/>
        <w:rPr>
          <w:rFonts w:eastAsia="Calibri" w:cs="Arial"/>
          <w:sz w:val="24"/>
          <w:szCs w:val="24"/>
          <w:lang w:eastAsia="en-US"/>
        </w:rPr>
      </w:pPr>
      <w:r w:rsidRPr="00815EC9">
        <w:rPr>
          <w:rFonts w:eastAsia="Calibri" w:cs="Arial"/>
          <w:sz w:val="24"/>
          <w:szCs w:val="24"/>
          <w:lang w:eastAsia="en-US"/>
        </w:rPr>
        <w:t>Live vaccines such as polio, H. zoster and yellow fever should be avoided.</w:t>
      </w:r>
    </w:p>
    <w:p w:rsidR="00815EC9" w:rsidRPr="00815EC9" w:rsidRDefault="00815EC9" w:rsidP="00815EC9">
      <w:pPr>
        <w:numPr>
          <w:ilvl w:val="0"/>
          <w:numId w:val="3"/>
        </w:numPr>
        <w:spacing w:line="240" w:lineRule="auto"/>
        <w:contextualSpacing/>
        <w:jc w:val="both"/>
        <w:rPr>
          <w:rFonts w:eastAsia="Calibri" w:cs="Arial"/>
          <w:sz w:val="24"/>
          <w:szCs w:val="24"/>
          <w:lang w:eastAsia="en-US"/>
        </w:rPr>
      </w:pPr>
      <w:r w:rsidRPr="00815EC9">
        <w:rPr>
          <w:rFonts w:eastAsia="Calibri" w:cs="Arial"/>
          <w:sz w:val="24"/>
          <w:szCs w:val="24"/>
          <w:lang w:eastAsia="en-US"/>
        </w:rPr>
        <w:t>Vaccinations should be avoided, if possible, 2 weeks prior to, during or up to 6 months after chemo-immunotherapy.</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 xml:space="preserve">The IDSA guideline covers the whole area of vaccination of the immunocompromised host and makes no distinction between acute and chronic </w:t>
      </w:r>
      <w:proofErr w:type="spellStart"/>
      <w:r w:rsidRPr="00815EC9">
        <w:rPr>
          <w:rFonts w:cs="Arial"/>
          <w:sz w:val="24"/>
          <w:szCs w:val="24"/>
          <w:lang w:eastAsia="en-US"/>
        </w:rPr>
        <w:t>leukaemias</w:t>
      </w:r>
      <w:proofErr w:type="spellEnd"/>
      <w:r w:rsidRPr="00815EC9">
        <w:rPr>
          <w:rFonts w:cs="Arial"/>
          <w:sz w:val="24"/>
          <w:szCs w:val="24"/>
          <w:lang w:eastAsia="en-US"/>
        </w:rPr>
        <w:t xml:space="preserve">. The ACIP guideline refers to pneumococcal vaccination only, and again makes no distinction made between acute and chronic </w:t>
      </w:r>
      <w:proofErr w:type="spellStart"/>
      <w:r w:rsidRPr="00815EC9">
        <w:rPr>
          <w:rFonts w:cs="Arial"/>
          <w:sz w:val="24"/>
          <w:szCs w:val="24"/>
          <w:lang w:eastAsia="en-US"/>
        </w:rPr>
        <w:t>leukaemias</w:t>
      </w:r>
      <w:proofErr w:type="spellEnd"/>
      <w:r w:rsidRPr="00815EC9">
        <w:rPr>
          <w:rFonts w:cs="Arial"/>
          <w:sz w:val="24"/>
          <w:szCs w:val="24"/>
          <w:lang w:eastAsia="en-US"/>
        </w:rPr>
        <w:t>.</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 xml:space="preserve">A number of relevant papers have been published on this topic. Whitaker </w:t>
      </w:r>
      <w:r w:rsidRPr="00815EC9">
        <w:rPr>
          <w:rFonts w:cs="Arial"/>
          <w:i/>
          <w:sz w:val="24"/>
          <w:szCs w:val="24"/>
          <w:lang w:eastAsia="en-US"/>
        </w:rPr>
        <w:t>et al.</w:t>
      </w:r>
      <w:r w:rsidRPr="00815EC9">
        <w:rPr>
          <w:rFonts w:cs="Arial"/>
          <w:sz w:val="24"/>
          <w:szCs w:val="24"/>
          <w:lang w:eastAsia="en-US"/>
        </w:rPr>
        <w:t xml:space="preserve"> (2014) provides a scientific background to immunisation in monoclonal B-Cell lymphocytosis and CLL (which it considers as a single entity). It provides a summary of vaccination recommendations, which are based on a synthesis of literature review together with the IDSA and ACIP guidelines. Because it draws on IDSA it advises vaccination against meningococcus, diphtheria, pertussis and tetanus, none of which are mentioned in the BCSH guidelines.</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rPr>
          <w:rFonts w:cs="Arial"/>
          <w:i/>
          <w:sz w:val="24"/>
          <w:szCs w:val="24"/>
          <w:lang w:eastAsia="en-US"/>
        </w:rPr>
      </w:pPr>
      <w:r w:rsidRPr="00815EC9">
        <w:rPr>
          <w:rFonts w:cs="Arial"/>
          <w:i/>
          <w:sz w:val="24"/>
          <w:szCs w:val="24"/>
          <w:lang w:eastAsia="en-US"/>
        </w:rPr>
        <w:t>Pneumococcus</w:t>
      </w: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 xml:space="preserve">The immunogenicity of the pneumococcal vaccines is complex. </w:t>
      </w:r>
      <w:r w:rsidRPr="00815EC9">
        <w:rPr>
          <w:rFonts w:cs="Arial"/>
          <w:sz w:val="24"/>
          <w:szCs w:val="24"/>
          <w:lang w:val="fr-FR" w:eastAsia="en-US"/>
        </w:rPr>
        <w:t xml:space="preserve">For instance, </w:t>
      </w:r>
      <w:proofErr w:type="spellStart"/>
      <w:r w:rsidRPr="00815EC9">
        <w:rPr>
          <w:rFonts w:cs="Arial"/>
          <w:sz w:val="24"/>
          <w:szCs w:val="24"/>
          <w:lang w:val="fr-FR" w:eastAsia="en-US"/>
        </w:rPr>
        <w:t>Sinsialo</w:t>
      </w:r>
      <w:proofErr w:type="spellEnd"/>
      <w:r w:rsidRPr="00815EC9">
        <w:rPr>
          <w:rFonts w:cs="Arial"/>
          <w:sz w:val="24"/>
          <w:szCs w:val="24"/>
          <w:lang w:val="fr-FR" w:eastAsia="en-US"/>
        </w:rPr>
        <w:t xml:space="preserve"> </w:t>
      </w:r>
      <w:r w:rsidRPr="00815EC9">
        <w:rPr>
          <w:rFonts w:cs="Arial"/>
          <w:i/>
          <w:sz w:val="24"/>
          <w:szCs w:val="24"/>
          <w:lang w:val="fr-FR" w:eastAsia="en-US"/>
        </w:rPr>
        <w:t>et al.</w:t>
      </w:r>
      <w:r w:rsidRPr="00815EC9">
        <w:rPr>
          <w:rFonts w:cs="Arial"/>
          <w:sz w:val="24"/>
          <w:szCs w:val="24"/>
          <w:lang w:val="fr-FR" w:eastAsia="en-US"/>
        </w:rPr>
        <w:t xml:space="preserve"> </w:t>
      </w:r>
      <w:r w:rsidRPr="00815EC9">
        <w:rPr>
          <w:rFonts w:cs="Arial"/>
          <w:sz w:val="24"/>
          <w:szCs w:val="24"/>
          <w:lang w:eastAsia="en-US"/>
        </w:rPr>
        <w:t xml:space="preserve">(2003) cite evidence to suggest that polysaccharide vaccines are ineffective in CLL, as measured by the generation of an antibody response. However, Whitaker </w:t>
      </w:r>
      <w:r w:rsidRPr="00815EC9">
        <w:rPr>
          <w:rFonts w:cs="Arial"/>
          <w:i/>
          <w:sz w:val="24"/>
          <w:szCs w:val="24"/>
          <w:lang w:eastAsia="en-US"/>
        </w:rPr>
        <w:t>et al.</w:t>
      </w:r>
      <w:r w:rsidRPr="00815EC9">
        <w:rPr>
          <w:rFonts w:cs="Arial"/>
          <w:sz w:val="24"/>
          <w:szCs w:val="24"/>
          <w:lang w:eastAsia="en-US"/>
        </w:rPr>
        <w:t xml:space="preserve"> (2014) report that patients who receive PPV23 followed by PCV13 have decreased antibody responses compared with those who receive the vaccines in the opposite order, suggesting that that PCV13 augments the immune response to a subsequent dose of PPV23. </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The Green Book (chapter 25) recommends that children and adults with acute and chronic leukaemia should be offered a single dose of PCV13 followed by PPV23 at least two months later, irrespective of their routine childhood vaccinations. In chapter 25 it notes that antibody levels in patients vaccinated with PPV23 who have absent or dysfunctional spleen or chronic kidney disease decline rapidly, so such patients should be re-vaccinated every five years. However, it does not extend this recommendation to patients with leukaemia.</w:t>
      </w:r>
    </w:p>
    <w:p w:rsidR="00815EC9" w:rsidRPr="00815EC9" w:rsidRDefault="00815EC9" w:rsidP="00815EC9">
      <w:pPr>
        <w:spacing w:line="240" w:lineRule="auto"/>
        <w:rPr>
          <w:rFonts w:cs="Arial"/>
          <w:sz w:val="24"/>
          <w:szCs w:val="24"/>
          <w:lang w:eastAsia="en-US"/>
        </w:rPr>
      </w:pPr>
    </w:p>
    <w:p w:rsidR="00815EC9" w:rsidRPr="00815EC9" w:rsidRDefault="00815EC9" w:rsidP="00815EC9">
      <w:pPr>
        <w:keepNext/>
        <w:spacing w:line="240" w:lineRule="auto"/>
        <w:rPr>
          <w:rFonts w:cs="Arial"/>
          <w:sz w:val="24"/>
          <w:szCs w:val="24"/>
          <w:lang w:eastAsia="en-US"/>
        </w:rPr>
      </w:pPr>
      <w:r w:rsidRPr="00815EC9">
        <w:rPr>
          <w:rFonts w:cs="Arial"/>
          <w:sz w:val="24"/>
          <w:szCs w:val="24"/>
          <w:lang w:eastAsia="en-US"/>
        </w:rPr>
        <w:t>The ACIP guideline makes the same recommendation, but it also recommends a booster dose of PPV23 every five years thereafter. This applies to patients whether or not they have received PPV23 before, but if they have, the first dose of PCV13 should not be given until a year after the last dose of PPV23.</w:t>
      </w:r>
    </w:p>
    <w:p w:rsidR="00815EC9" w:rsidRPr="00815EC9" w:rsidRDefault="00815EC9" w:rsidP="00815EC9">
      <w:pPr>
        <w:keepNext/>
        <w:spacing w:line="240" w:lineRule="auto"/>
        <w:rPr>
          <w:rFonts w:cs="Arial"/>
          <w:sz w:val="24"/>
          <w:szCs w:val="24"/>
          <w:lang w:eastAsia="en-US"/>
        </w:rPr>
      </w:pPr>
    </w:p>
    <w:p w:rsidR="00815EC9" w:rsidRPr="00815EC9" w:rsidRDefault="00815EC9" w:rsidP="00815EC9">
      <w:pPr>
        <w:keepNext/>
        <w:spacing w:line="240" w:lineRule="auto"/>
        <w:rPr>
          <w:rFonts w:cs="Arial"/>
          <w:i/>
          <w:sz w:val="24"/>
          <w:szCs w:val="24"/>
          <w:lang w:eastAsia="en-US"/>
        </w:rPr>
      </w:pPr>
      <w:r w:rsidRPr="00815EC9">
        <w:rPr>
          <w:rFonts w:cs="Arial"/>
          <w:i/>
          <w:sz w:val="24"/>
          <w:szCs w:val="24"/>
          <w:lang w:eastAsia="en-US"/>
        </w:rPr>
        <w:t xml:space="preserve">Haemophilus </w:t>
      </w:r>
      <w:proofErr w:type="spellStart"/>
      <w:r w:rsidRPr="00815EC9">
        <w:rPr>
          <w:rFonts w:cs="Arial"/>
          <w:i/>
          <w:sz w:val="24"/>
          <w:szCs w:val="24"/>
          <w:lang w:eastAsia="en-US"/>
        </w:rPr>
        <w:t>influenzae</w:t>
      </w:r>
      <w:proofErr w:type="spellEnd"/>
      <w:r w:rsidRPr="00815EC9">
        <w:rPr>
          <w:rFonts w:cs="Arial"/>
          <w:sz w:val="24"/>
          <w:szCs w:val="24"/>
          <w:lang w:eastAsia="en-US"/>
        </w:rPr>
        <w:t xml:space="preserve"> type B (Hib)</w:t>
      </w: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The BCSH guidance recommends Hib vaccination. The IDSA guideline recommends Hib vaccination, but only if the patient is ‘not current with recommendations for dose(s) of vaccine for immunocompetent persons in risk and age categories’ (this recommendation is interpreted to mean that patients who have already received the expected vaccinations for their age group do not need any additional vaccines).</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All Hib vaccine available in the UK is combined with other vaccines, as either the “5-in-one” diphtheria/tetanus/acellular pertussis/inactivated polio vaccine/</w:t>
      </w:r>
      <w:r w:rsidRPr="00815EC9">
        <w:rPr>
          <w:rFonts w:cs="Arial"/>
          <w:i/>
          <w:sz w:val="24"/>
          <w:szCs w:val="24"/>
          <w:lang w:eastAsia="en-US"/>
        </w:rPr>
        <w:t xml:space="preserve">H. </w:t>
      </w:r>
      <w:proofErr w:type="spellStart"/>
      <w:r w:rsidRPr="00815EC9">
        <w:rPr>
          <w:rFonts w:cs="Arial"/>
          <w:i/>
          <w:sz w:val="24"/>
          <w:szCs w:val="24"/>
          <w:lang w:eastAsia="en-US"/>
        </w:rPr>
        <w:t>influenzae</w:t>
      </w:r>
      <w:proofErr w:type="spellEnd"/>
      <w:r w:rsidRPr="00815EC9">
        <w:rPr>
          <w:rFonts w:cs="Arial"/>
          <w:sz w:val="24"/>
          <w:szCs w:val="24"/>
          <w:lang w:eastAsia="en-US"/>
        </w:rPr>
        <w:t xml:space="preserve"> type b (</w:t>
      </w:r>
      <w:proofErr w:type="spellStart"/>
      <w:r w:rsidRPr="00815EC9">
        <w:rPr>
          <w:rFonts w:cs="Arial"/>
          <w:sz w:val="24"/>
          <w:szCs w:val="24"/>
          <w:lang w:eastAsia="en-US"/>
        </w:rPr>
        <w:t>DTaP</w:t>
      </w:r>
      <w:proofErr w:type="spellEnd"/>
      <w:r w:rsidRPr="00815EC9">
        <w:rPr>
          <w:rFonts w:cs="Arial"/>
          <w:sz w:val="24"/>
          <w:szCs w:val="24"/>
          <w:lang w:eastAsia="en-US"/>
        </w:rPr>
        <w:t>/IPV/Hib) vaccine, or Hib/</w:t>
      </w:r>
      <w:proofErr w:type="spellStart"/>
      <w:r w:rsidRPr="00815EC9">
        <w:rPr>
          <w:rFonts w:cs="Arial"/>
          <w:sz w:val="24"/>
          <w:szCs w:val="24"/>
          <w:lang w:eastAsia="en-US"/>
        </w:rPr>
        <w:t>MenC</w:t>
      </w:r>
      <w:proofErr w:type="spellEnd"/>
      <w:r w:rsidRPr="00815EC9">
        <w:rPr>
          <w:rFonts w:cs="Arial"/>
          <w:sz w:val="24"/>
          <w:szCs w:val="24"/>
          <w:lang w:eastAsia="en-US"/>
        </w:rPr>
        <w:t xml:space="preserve"> conjugate.</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Green Book (chapter 16) recommendations on administration relate mainly to children, and are difficult to apply to adults:</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ind w:left="720"/>
        <w:rPr>
          <w:rFonts w:cs="Arial"/>
          <w:sz w:val="24"/>
          <w:szCs w:val="24"/>
          <w:lang w:eastAsia="en-US"/>
        </w:rPr>
      </w:pPr>
      <w:r w:rsidRPr="00815EC9">
        <w:rPr>
          <w:rFonts w:cs="Arial"/>
          <w:sz w:val="24"/>
          <w:szCs w:val="24"/>
          <w:lang w:eastAsia="en-US"/>
        </w:rPr>
        <w:t xml:space="preserve">For children over one year of age and under ten years of age who have either not been immunised or not completed a primary course of diphtheria, tetanus, pertussis or polio, </w:t>
      </w:r>
      <w:proofErr w:type="spellStart"/>
      <w:r w:rsidRPr="00815EC9">
        <w:rPr>
          <w:rFonts w:cs="Arial"/>
          <w:sz w:val="24"/>
          <w:szCs w:val="24"/>
          <w:lang w:eastAsia="en-US"/>
        </w:rPr>
        <w:t>DTaP</w:t>
      </w:r>
      <w:proofErr w:type="spellEnd"/>
      <w:r w:rsidRPr="00815EC9">
        <w:rPr>
          <w:rFonts w:cs="Arial"/>
          <w:sz w:val="24"/>
          <w:szCs w:val="24"/>
          <w:lang w:eastAsia="en-US"/>
        </w:rPr>
        <w:t>/IPV/Hib vaccination should be used. Children over one year and under ten years of age who have completed a primary course of diphtheria, tetanus, pertussis or polio should have Hib/</w:t>
      </w:r>
      <w:proofErr w:type="spellStart"/>
      <w:r w:rsidRPr="00815EC9">
        <w:rPr>
          <w:rFonts w:cs="Arial"/>
          <w:sz w:val="24"/>
          <w:szCs w:val="24"/>
          <w:lang w:eastAsia="en-US"/>
        </w:rPr>
        <w:t>MenC</w:t>
      </w:r>
      <w:proofErr w:type="spellEnd"/>
      <w:r w:rsidRPr="00815EC9">
        <w:rPr>
          <w:rFonts w:cs="Arial"/>
          <w:sz w:val="24"/>
          <w:szCs w:val="24"/>
          <w:lang w:eastAsia="en-US"/>
        </w:rPr>
        <w:t>.</w:t>
      </w:r>
    </w:p>
    <w:p w:rsidR="00815EC9" w:rsidRPr="00815EC9" w:rsidRDefault="00815EC9" w:rsidP="00815EC9">
      <w:pPr>
        <w:spacing w:line="240" w:lineRule="auto"/>
        <w:ind w:left="720"/>
        <w:rPr>
          <w:rFonts w:cs="Arial"/>
          <w:sz w:val="24"/>
          <w:szCs w:val="24"/>
          <w:lang w:eastAsia="en-US"/>
        </w:rPr>
      </w:pPr>
    </w:p>
    <w:p w:rsidR="00815EC9" w:rsidRPr="00815EC9" w:rsidRDefault="00815EC9" w:rsidP="00815EC9">
      <w:pPr>
        <w:spacing w:line="240" w:lineRule="auto"/>
        <w:ind w:left="720"/>
        <w:rPr>
          <w:rFonts w:cs="Arial"/>
          <w:sz w:val="24"/>
          <w:szCs w:val="24"/>
          <w:lang w:eastAsia="en-US"/>
        </w:rPr>
      </w:pPr>
      <w:r w:rsidRPr="00815EC9">
        <w:rPr>
          <w:rFonts w:cs="Arial"/>
          <w:sz w:val="24"/>
          <w:szCs w:val="24"/>
          <w:lang w:eastAsia="en-US"/>
        </w:rPr>
        <w:lastRenderedPageBreak/>
        <w:t>Individuals with immunosuppression and HIV infection (regardless of CD4 count) should be given Hib-containing vaccines in accordance with the recommendations above. These individuals may not make a full antibody response. Re-immunisation should be considered after treatment is finished and recovery has occurred. Specialist advice may be required.</w:t>
      </w:r>
    </w:p>
    <w:p w:rsidR="00815EC9" w:rsidRPr="00815EC9" w:rsidRDefault="00815EC9" w:rsidP="00815EC9">
      <w:pPr>
        <w:spacing w:line="240" w:lineRule="auto"/>
        <w:rPr>
          <w:rFonts w:cs="Arial"/>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 xml:space="preserve">Adults should therefore be vaccinated against Hib. </w:t>
      </w:r>
    </w:p>
    <w:p w:rsidR="00815EC9" w:rsidRPr="00815EC9" w:rsidRDefault="00815EC9" w:rsidP="00815EC9">
      <w:pPr>
        <w:spacing w:line="240" w:lineRule="auto"/>
        <w:rPr>
          <w:rFonts w:cs="Arial"/>
          <w:sz w:val="24"/>
          <w:szCs w:val="24"/>
          <w:highlight w:val="yellow"/>
          <w:lang w:eastAsia="en-US"/>
        </w:rPr>
      </w:pPr>
    </w:p>
    <w:p w:rsidR="00815EC9" w:rsidRPr="00815EC9" w:rsidRDefault="00815EC9" w:rsidP="00815EC9">
      <w:pPr>
        <w:keepNext/>
        <w:spacing w:line="240" w:lineRule="auto"/>
        <w:rPr>
          <w:rFonts w:cs="Arial"/>
          <w:i/>
          <w:sz w:val="24"/>
          <w:szCs w:val="24"/>
          <w:lang w:eastAsia="en-US"/>
        </w:rPr>
      </w:pPr>
      <w:r w:rsidRPr="00815EC9">
        <w:rPr>
          <w:rFonts w:cs="Arial"/>
          <w:i/>
          <w:sz w:val="24"/>
          <w:szCs w:val="24"/>
          <w:lang w:eastAsia="en-US"/>
        </w:rPr>
        <w:t>Meningococcus</w:t>
      </w: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 xml:space="preserve">The BCSH guideline makes no recommendation on meningococcal vaccination. The IDSA guideline recommends meningococcal conjugate vaccine only if the patient is ‘not current with recommendations for dose(s) of vaccine for immunocompetent persons in risk and age categories.’ The Green Book (chapter 7) makes special recommendations for patients with </w:t>
      </w:r>
      <w:proofErr w:type="spellStart"/>
      <w:r w:rsidRPr="00815EC9">
        <w:rPr>
          <w:rFonts w:cs="Arial"/>
          <w:sz w:val="24"/>
          <w:szCs w:val="24"/>
          <w:lang w:eastAsia="en-US"/>
        </w:rPr>
        <w:t>asplenia</w:t>
      </w:r>
      <w:proofErr w:type="spellEnd"/>
      <w:r w:rsidRPr="00815EC9">
        <w:rPr>
          <w:rFonts w:cs="Arial"/>
          <w:sz w:val="24"/>
          <w:szCs w:val="24"/>
          <w:lang w:eastAsia="en-US"/>
        </w:rPr>
        <w:t xml:space="preserve">, splenic dysfunction and complement deficiency but not CLL. For individuals with ‘immunosuppression’ it recommends meningococcal vaccination in accordance with the routine schedule. It does not appear, therefore, that meningococcal vaccination (over and above ‘routine’ meningococcal vaccination) is indicated for CLL patients. </w:t>
      </w:r>
    </w:p>
    <w:p w:rsidR="00815EC9" w:rsidRPr="00815EC9" w:rsidRDefault="00815EC9" w:rsidP="00815EC9">
      <w:pPr>
        <w:spacing w:line="240" w:lineRule="auto"/>
        <w:rPr>
          <w:rFonts w:cs="Arial"/>
          <w:sz w:val="24"/>
          <w:szCs w:val="24"/>
          <w:highlight w:val="yellow"/>
          <w:lang w:eastAsia="en-US"/>
        </w:rPr>
      </w:pPr>
    </w:p>
    <w:p w:rsidR="00815EC9" w:rsidRPr="00815EC9" w:rsidRDefault="00815EC9" w:rsidP="00815EC9">
      <w:pPr>
        <w:keepNext/>
        <w:spacing w:line="240" w:lineRule="auto"/>
        <w:rPr>
          <w:rFonts w:cs="Arial"/>
          <w:i/>
          <w:sz w:val="24"/>
          <w:szCs w:val="24"/>
          <w:lang w:eastAsia="en-US"/>
        </w:rPr>
      </w:pPr>
      <w:r w:rsidRPr="00815EC9">
        <w:rPr>
          <w:rFonts w:cs="Arial"/>
          <w:i/>
          <w:sz w:val="24"/>
          <w:szCs w:val="24"/>
          <w:lang w:eastAsia="en-US"/>
        </w:rPr>
        <w:t>Influenza</w:t>
      </w: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 xml:space="preserve">The Green Book (chapter 7) recommends influenza vaccination for people who are immunosuppressed and the IDSA guideline recommends annual vaccination for patients with haematological malignancy. The live vaccine must not be used. De Lavallade </w:t>
      </w:r>
      <w:r w:rsidRPr="00815EC9">
        <w:rPr>
          <w:rFonts w:cs="Arial"/>
          <w:i/>
          <w:sz w:val="24"/>
          <w:szCs w:val="24"/>
          <w:lang w:eastAsia="en-US"/>
        </w:rPr>
        <w:t>et al.</w:t>
      </w:r>
      <w:r w:rsidRPr="00815EC9">
        <w:rPr>
          <w:rFonts w:cs="Arial"/>
          <w:sz w:val="24"/>
          <w:szCs w:val="24"/>
          <w:lang w:eastAsia="en-US"/>
        </w:rPr>
        <w:t xml:space="preserve"> (2011) found that protective antibody responses were 85% in CLL patients who received one dose of flu vaccine and 95% in those who received two doses, 21 days apart. Based on this research, the BCSH guideline recommends that two doses of flu vaccine should be given to patients with CLL.</w:t>
      </w:r>
    </w:p>
    <w:p w:rsidR="00815EC9" w:rsidRPr="00815EC9" w:rsidRDefault="00815EC9" w:rsidP="00815EC9">
      <w:pPr>
        <w:spacing w:line="240" w:lineRule="auto"/>
        <w:contextualSpacing/>
        <w:rPr>
          <w:rFonts w:eastAsia="Calibri" w:cs="Arial"/>
          <w:sz w:val="24"/>
          <w:szCs w:val="24"/>
          <w:lang w:eastAsia="en-US"/>
        </w:rPr>
      </w:pPr>
    </w:p>
    <w:p w:rsidR="00815EC9" w:rsidRPr="00815EC9" w:rsidRDefault="00815EC9" w:rsidP="00815EC9">
      <w:pPr>
        <w:keepNext/>
        <w:spacing w:line="240" w:lineRule="auto"/>
        <w:rPr>
          <w:rFonts w:cs="Arial"/>
          <w:i/>
          <w:sz w:val="24"/>
          <w:szCs w:val="24"/>
          <w:lang w:eastAsia="en-US"/>
        </w:rPr>
      </w:pPr>
      <w:r w:rsidRPr="00815EC9">
        <w:rPr>
          <w:rFonts w:cs="Arial"/>
          <w:i/>
          <w:sz w:val="24"/>
          <w:szCs w:val="24"/>
          <w:lang w:eastAsia="en-US"/>
        </w:rPr>
        <w:t>Tetanus</w:t>
      </w:r>
    </w:p>
    <w:p w:rsidR="00815EC9" w:rsidRPr="00815EC9" w:rsidRDefault="00815EC9" w:rsidP="00815EC9">
      <w:pPr>
        <w:spacing w:line="240" w:lineRule="auto"/>
        <w:contextualSpacing/>
        <w:rPr>
          <w:rFonts w:eastAsia="Calibri" w:cs="Arial"/>
          <w:sz w:val="24"/>
          <w:szCs w:val="24"/>
          <w:lang w:eastAsia="en-US"/>
        </w:rPr>
      </w:pPr>
      <w:r w:rsidRPr="00815EC9">
        <w:rPr>
          <w:rFonts w:eastAsia="Calibri" w:cs="Arial"/>
          <w:sz w:val="24"/>
          <w:szCs w:val="24"/>
          <w:lang w:eastAsia="en-US"/>
        </w:rPr>
        <w:t xml:space="preserve">Neither the BCSH nor the IDSA </w:t>
      </w:r>
      <w:proofErr w:type="gramStart"/>
      <w:r w:rsidRPr="00815EC9">
        <w:rPr>
          <w:rFonts w:eastAsia="Calibri" w:cs="Arial"/>
          <w:sz w:val="24"/>
          <w:szCs w:val="24"/>
          <w:lang w:eastAsia="en-US"/>
        </w:rPr>
        <w:t>guideline make</w:t>
      </w:r>
      <w:proofErr w:type="gramEnd"/>
      <w:r w:rsidRPr="00815EC9">
        <w:rPr>
          <w:rFonts w:eastAsia="Calibri" w:cs="Arial"/>
          <w:sz w:val="24"/>
          <w:szCs w:val="24"/>
          <w:lang w:eastAsia="en-US"/>
        </w:rPr>
        <w:t xml:space="preserve"> any recommendations for tetanus immunisation. The Green Book (chapter 30) states that patients who are immunosuppressed may not be adequately protected against tetanus even if they are fully immunised, and should therefore be managed as if they were incompletely immunised (see p379 and Table 30.1). Whitaker </w:t>
      </w:r>
      <w:r w:rsidRPr="00815EC9">
        <w:rPr>
          <w:rFonts w:eastAsia="Calibri" w:cs="Arial"/>
          <w:i/>
          <w:sz w:val="24"/>
          <w:szCs w:val="24"/>
          <w:lang w:eastAsia="en-US"/>
        </w:rPr>
        <w:t xml:space="preserve">et al. </w:t>
      </w:r>
      <w:r w:rsidRPr="00815EC9">
        <w:rPr>
          <w:rFonts w:eastAsia="Calibri" w:cs="Arial"/>
          <w:sz w:val="24"/>
          <w:szCs w:val="24"/>
          <w:lang w:eastAsia="en-US"/>
        </w:rPr>
        <w:t>(2014) recommend a booster dose of tetanus at diagnosis and every 10 years thereafter.</w:t>
      </w:r>
    </w:p>
    <w:p w:rsidR="00815EC9" w:rsidRPr="00815EC9" w:rsidRDefault="00815EC9" w:rsidP="00815EC9">
      <w:pPr>
        <w:spacing w:line="240" w:lineRule="auto"/>
        <w:contextualSpacing/>
        <w:rPr>
          <w:rFonts w:eastAsia="Calibri" w:cs="Arial"/>
          <w:sz w:val="24"/>
          <w:szCs w:val="24"/>
          <w:lang w:eastAsia="en-US"/>
        </w:rPr>
      </w:pPr>
    </w:p>
    <w:p w:rsidR="00815EC9" w:rsidRPr="00815EC9" w:rsidRDefault="00815EC9" w:rsidP="00815EC9">
      <w:pPr>
        <w:keepNext/>
        <w:spacing w:line="240" w:lineRule="auto"/>
        <w:rPr>
          <w:rFonts w:cs="Arial"/>
          <w:i/>
          <w:sz w:val="24"/>
          <w:szCs w:val="24"/>
          <w:lang w:eastAsia="en-US"/>
        </w:rPr>
      </w:pPr>
      <w:r w:rsidRPr="00815EC9">
        <w:rPr>
          <w:rFonts w:cs="Arial"/>
          <w:i/>
          <w:sz w:val="24"/>
          <w:szCs w:val="24"/>
          <w:lang w:eastAsia="en-US"/>
        </w:rPr>
        <w:t>Other infections</w:t>
      </w: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 xml:space="preserve">Immunisation against diphtheria, polio and pertussis is not mentioned in the BCSH guideline but is recommended by IDSA and Whitaker </w:t>
      </w:r>
      <w:r w:rsidRPr="00815EC9">
        <w:rPr>
          <w:rFonts w:cs="Arial"/>
          <w:i/>
          <w:sz w:val="24"/>
          <w:szCs w:val="24"/>
          <w:lang w:eastAsia="en-US"/>
        </w:rPr>
        <w:t>et al.</w:t>
      </w:r>
      <w:r w:rsidRPr="00815EC9">
        <w:rPr>
          <w:rFonts w:cs="Arial"/>
          <w:sz w:val="24"/>
          <w:szCs w:val="24"/>
          <w:lang w:eastAsia="en-US"/>
        </w:rPr>
        <w:t xml:space="preserve"> (2014) The IDSA recommends that a combined DPT vaccine should be given to patients who are ‘not current with recommendations for dose(s) of vaccine for immunocompetent persons in risk and age categories.’ </w:t>
      </w:r>
      <w:proofErr w:type="gramStart"/>
      <w:r w:rsidRPr="00815EC9">
        <w:rPr>
          <w:rFonts w:cs="Arial"/>
          <w:sz w:val="24"/>
          <w:szCs w:val="24"/>
          <w:lang w:eastAsia="en-US"/>
        </w:rPr>
        <w:t>Thus, if a person is diagnosed with CLL who has not undergone the immunisation schedule that would be recommended for the same person if they did not have CLL, they should be vaccinated.</w:t>
      </w:r>
      <w:proofErr w:type="gramEnd"/>
    </w:p>
    <w:p w:rsidR="00815EC9" w:rsidRPr="00815EC9" w:rsidRDefault="00815EC9" w:rsidP="00815EC9">
      <w:pPr>
        <w:spacing w:line="240" w:lineRule="auto"/>
        <w:rPr>
          <w:rFonts w:cs="Arial"/>
          <w:sz w:val="24"/>
          <w:szCs w:val="24"/>
          <w:lang w:eastAsia="en-US"/>
        </w:rPr>
      </w:pPr>
    </w:p>
    <w:p w:rsidR="00815EC9" w:rsidRPr="00815EC9" w:rsidRDefault="00815EC9" w:rsidP="00815EC9">
      <w:pPr>
        <w:keepNext/>
        <w:spacing w:line="240" w:lineRule="auto"/>
        <w:rPr>
          <w:rFonts w:cs="Arial"/>
          <w:i/>
          <w:sz w:val="24"/>
          <w:szCs w:val="24"/>
          <w:lang w:eastAsia="en-US"/>
        </w:rPr>
      </w:pPr>
      <w:r w:rsidRPr="00815EC9">
        <w:rPr>
          <w:rFonts w:cs="Arial"/>
          <w:i/>
          <w:sz w:val="24"/>
          <w:szCs w:val="24"/>
          <w:lang w:eastAsia="en-US"/>
        </w:rPr>
        <w:t>Timing of vaccination</w:t>
      </w: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The Green Book (chapter 7) says:</w:t>
      </w:r>
    </w:p>
    <w:p w:rsidR="00815EC9" w:rsidRPr="00815EC9" w:rsidRDefault="00815EC9" w:rsidP="00815EC9">
      <w:pPr>
        <w:spacing w:line="240" w:lineRule="auto"/>
        <w:ind w:left="720"/>
        <w:rPr>
          <w:rFonts w:cs="Arial"/>
          <w:sz w:val="24"/>
          <w:szCs w:val="24"/>
          <w:lang w:eastAsia="en-US"/>
        </w:rPr>
      </w:pPr>
    </w:p>
    <w:p w:rsidR="00815EC9" w:rsidRPr="00815EC9" w:rsidRDefault="00815EC9" w:rsidP="00815EC9">
      <w:pPr>
        <w:spacing w:line="240" w:lineRule="auto"/>
        <w:ind w:left="720"/>
        <w:rPr>
          <w:sz w:val="24"/>
          <w:szCs w:val="24"/>
          <w:lang w:eastAsia="en-US"/>
        </w:rPr>
      </w:pPr>
      <w:r w:rsidRPr="00815EC9">
        <w:rPr>
          <w:rFonts w:cs="Arial"/>
          <w:sz w:val="24"/>
          <w:szCs w:val="24"/>
          <w:lang w:eastAsia="en-US"/>
        </w:rPr>
        <w:t>For individuals due to commence immunosuppressive treatments, inactivated vaccines should ideally be ad</w:t>
      </w:r>
      <w:r w:rsidRPr="00815EC9">
        <w:rPr>
          <w:sz w:val="24"/>
          <w:szCs w:val="24"/>
          <w:lang w:eastAsia="en-US"/>
        </w:rPr>
        <w:t>ministered at least two weeks before commencement. In some cases this will not be possible and therefore vaccination may be carried out at any time and re-immunisation considered after treatment is finished and recovery has occurred.</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r w:rsidRPr="00815EC9">
        <w:rPr>
          <w:sz w:val="24"/>
          <w:szCs w:val="24"/>
          <w:lang w:eastAsia="en-US"/>
        </w:rPr>
        <w:lastRenderedPageBreak/>
        <w:t>The Green Book (chapter 25) says:</w:t>
      </w:r>
    </w:p>
    <w:p w:rsidR="00815EC9" w:rsidRPr="00815EC9" w:rsidRDefault="00815EC9" w:rsidP="00815EC9">
      <w:pPr>
        <w:spacing w:line="240" w:lineRule="auto"/>
        <w:ind w:left="720"/>
        <w:rPr>
          <w:sz w:val="24"/>
          <w:szCs w:val="24"/>
          <w:lang w:eastAsia="en-US"/>
        </w:rPr>
      </w:pPr>
    </w:p>
    <w:p w:rsidR="00815EC9" w:rsidRPr="00815EC9" w:rsidRDefault="00815EC9" w:rsidP="00815EC9">
      <w:pPr>
        <w:spacing w:line="240" w:lineRule="auto"/>
        <w:ind w:left="720"/>
        <w:rPr>
          <w:sz w:val="24"/>
          <w:szCs w:val="24"/>
          <w:lang w:eastAsia="en-US"/>
        </w:rPr>
      </w:pPr>
      <w:r w:rsidRPr="00815EC9">
        <w:rPr>
          <w:sz w:val="24"/>
          <w:szCs w:val="24"/>
          <w:lang w:eastAsia="en-US"/>
        </w:rPr>
        <w:t>For leukaemia patients, PCV13 should be given from six months after completion of chemotherapy, and for bone marrow transplant patients, PCV13 should be offered 9-12 months following transplantation.</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r w:rsidRPr="00815EC9">
        <w:rPr>
          <w:sz w:val="24"/>
          <w:szCs w:val="24"/>
          <w:lang w:eastAsia="en-US"/>
        </w:rPr>
        <w:t>CLL is a chronic illness and it is unlikely that chemotherapy will be required within two weeks of diagnosis. This paragraph, therefore, is more likely to apply to acute rather than chronic leukaemia.</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r w:rsidRPr="00815EC9">
        <w:rPr>
          <w:sz w:val="24"/>
          <w:szCs w:val="24"/>
          <w:lang w:eastAsia="en-US"/>
        </w:rPr>
        <w:t xml:space="preserve">The IDSA guideline says that PCV13 should be administered to newly-diagnosed adults with leukaemia, and PPSV23 (=PPV23) at least eight weeks later. With respect to Hib, the IDSA guideline recommends vaccination ≥ 3 months after chemotherapy (and ≥6 months after anti–B-cell antibodies). This recommendation, however, seems to be based on an assumption that chemotherapy will be initiated soon after diagnosis of leukaemia (therefore presumably it is referring to acute </w:t>
      </w:r>
      <w:proofErr w:type="spellStart"/>
      <w:r w:rsidRPr="00815EC9">
        <w:rPr>
          <w:sz w:val="24"/>
          <w:szCs w:val="24"/>
          <w:lang w:eastAsia="en-US"/>
        </w:rPr>
        <w:t>leukaemias</w:t>
      </w:r>
      <w:proofErr w:type="spellEnd"/>
      <w:r w:rsidRPr="00815EC9">
        <w:rPr>
          <w:sz w:val="24"/>
          <w:szCs w:val="24"/>
          <w:lang w:eastAsia="en-US"/>
        </w:rPr>
        <w:t>).</w:t>
      </w:r>
    </w:p>
    <w:p w:rsidR="00815EC9" w:rsidRPr="00815EC9" w:rsidRDefault="00815EC9" w:rsidP="00815EC9">
      <w:pPr>
        <w:spacing w:line="240" w:lineRule="auto"/>
        <w:rPr>
          <w:sz w:val="24"/>
          <w:szCs w:val="24"/>
          <w:lang w:eastAsia="en-US"/>
        </w:rPr>
      </w:pPr>
    </w:p>
    <w:p w:rsidR="00815EC9" w:rsidRPr="00815EC9" w:rsidRDefault="00815EC9" w:rsidP="00815EC9">
      <w:pPr>
        <w:keepNext/>
        <w:spacing w:line="240" w:lineRule="auto"/>
        <w:rPr>
          <w:i/>
          <w:sz w:val="24"/>
          <w:szCs w:val="24"/>
          <w:lang w:eastAsia="en-US"/>
        </w:rPr>
      </w:pPr>
      <w:r w:rsidRPr="00815EC9">
        <w:rPr>
          <w:i/>
          <w:sz w:val="24"/>
          <w:szCs w:val="24"/>
          <w:lang w:eastAsia="en-US"/>
        </w:rPr>
        <w:t>Testing antibody levels</w:t>
      </w:r>
    </w:p>
    <w:p w:rsidR="00815EC9" w:rsidRPr="00815EC9" w:rsidRDefault="00815EC9" w:rsidP="00815EC9">
      <w:pPr>
        <w:spacing w:line="240" w:lineRule="auto"/>
        <w:rPr>
          <w:sz w:val="24"/>
          <w:szCs w:val="24"/>
          <w:lang w:eastAsia="en-US"/>
        </w:rPr>
      </w:pPr>
      <w:r w:rsidRPr="00815EC9">
        <w:rPr>
          <w:sz w:val="24"/>
          <w:szCs w:val="24"/>
          <w:lang w:eastAsia="en-US"/>
        </w:rPr>
        <w:t>The Green Book recommends against antibody testing before giving booster doses of PPV23 and does not recommend testing before giving a booster dose of tetanus vaccine (Green Book chapters 25 and 30).</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r w:rsidRPr="00815EC9">
        <w:rPr>
          <w:sz w:val="24"/>
          <w:szCs w:val="24"/>
          <w:lang w:eastAsia="en-US"/>
        </w:rPr>
        <w:t xml:space="preserve">The IDSA and ACIP guidelines and Whitaker </w:t>
      </w:r>
      <w:r w:rsidRPr="00815EC9">
        <w:rPr>
          <w:i/>
          <w:sz w:val="24"/>
          <w:szCs w:val="24"/>
          <w:lang w:eastAsia="en-US"/>
        </w:rPr>
        <w:t>et al.</w:t>
      </w:r>
      <w:r w:rsidRPr="00815EC9">
        <w:rPr>
          <w:sz w:val="24"/>
          <w:szCs w:val="24"/>
          <w:lang w:eastAsia="en-US"/>
        </w:rPr>
        <w:t xml:space="preserve"> (2014) do not recommend checking antibody levels, either before vaccination or to confirm effective vaccination.</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r w:rsidRPr="00815EC9">
        <w:rPr>
          <w:sz w:val="24"/>
          <w:szCs w:val="24"/>
          <w:lang w:eastAsia="en-US"/>
        </w:rPr>
        <w:t>The BCSH guidance says:</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ind w:left="720"/>
        <w:rPr>
          <w:sz w:val="24"/>
          <w:szCs w:val="24"/>
          <w:lang w:eastAsia="en-US"/>
        </w:rPr>
      </w:pPr>
      <w:r w:rsidRPr="00815EC9">
        <w:rPr>
          <w:sz w:val="24"/>
          <w:szCs w:val="24"/>
          <w:lang w:eastAsia="en-US"/>
        </w:rPr>
        <w:t xml:space="preserve">Patients who respond to vaccination and subsequently develop recurrent bacterial infections should be revaccinated if </w:t>
      </w:r>
      <w:r w:rsidRPr="00815EC9">
        <w:rPr>
          <w:i/>
          <w:sz w:val="24"/>
          <w:szCs w:val="24"/>
          <w:lang w:eastAsia="en-US"/>
        </w:rPr>
        <w:t>S. pneumoniae</w:t>
      </w:r>
      <w:r w:rsidRPr="00815EC9">
        <w:rPr>
          <w:sz w:val="24"/>
          <w:szCs w:val="24"/>
          <w:lang w:eastAsia="en-US"/>
        </w:rPr>
        <w:t xml:space="preserve"> and Hib antibody levels have fallen.</w:t>
      </w:r>
    </w:p>
    <w:p w:rsidR="00815EC9" w:rsidRPr="00815EC9" w:rsidRDefault="00815EC9" w:rsidP="00815EC9">
      <w:pPr>
        <w:spacing w:line="240" w:lineRule="auto"/>
        <w:ind w:left="720"/>
        <w:rPr>
          <w:sz w:val="24"/>
          <w:szCs w:val="24"/>
          <w:lang w:eastAsia="en-US"/>
        </w:rPr>
      </w:pPr>
    </w:p>
    <w:p w:rsidR="00815EC9" w:rsidRPr="00815EC9" w:rsidRDefault="00815EC9" w:rsidP="00815EC9">
      <w:pPr>
        <w:spacing w:line="240" w:lineRule="auto"/>
        <w:rPr>
          <w:sz w:val="24"/>
          <w:szCs w:val="24"/>
          <w:lang w:eastAsia="en-US"/>
        </w:rPr>
      </w:pPr>
      <w:r w:rsidRPr="00815EC9">
        <w:rPr>
          <w:sz w:val="24"/>
          <w:szCs w:val="24"/>
          <w:lang w:eastAsia="en-US"/>
        </w:rPr>
        <w:t>This implies that antibody levels should be tested after vaccination if a patient develops infections with one or other of these organisms.</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r w:rsidRPr="00815EC9">
        <w:rPr>
          <w:sz w:val="24"/>
          <w:szCs w:val="24"/>
          <w:lang w:eastAsia="en-US"/>
        </w:rPr>
        <w:t xml:space="preserve">Post-vaccination antibody levels can be tested to assess vaccine response. Guidance on vaccination in combined variable immunodeficiency (a condition in which the spectrum of organisms causing infection is similar to CLL/MBL) cites protective vaccination criteria of 1 </w:t>
      </w:r>
      <w:proofErr w:type="spellStart"/>
      <w:r w:rsidRPr="00815EC9">
        <w:rPr>
          <w:rFonts w:cs="Arial"/>
          <w:sz w:val="24"/>
          <w:szCs w:val="24"/>
          <w:lang w:eastAsia="en-US"/>
        </w:rPr>
        <w:t>μ</w:t>
      </w:r>
      <w:r w:rsidRPr="00815EC9">
        <w:rPr>
          <w:sz w:val="24"/>
          <w:szCs w:val="24"/>
          <w:lang w:eastAsia="en-US"/>
        </w:rPr>
        <w:t>g</w:t>
      </w:r>
      <w:proofErr w:type="spellEnd"/>
      <w:r w:rsidRPr="00815EC9">
        <w:rPr>
          <w:sz w:val="24"/>
          <w:szCs w:val="24"/>
          <w:lang w:eastAsia="en-US"/>
        </w:rPr>
        <w:t xml:space="preserve">/mL for Hib and 0.15 IU/mL for tetanus (Bonilla F </w:t>
      </w:r>
      <w:r w:rsidRPr="00815EC9">
        <w:rPr>
          <w:i/>
          <w:sz w:val="24"/>
          <w:szCs w:val="24"/>
          <w:lang w:eastAsia="en-US"/>
        </w:rPr>
        <w:t xml:space="preserve">et </w:t>
      </w:r>
      <w:r w:rsidRPr="00815EC9">
        <w:rPr>
          <w:sz w:val="24"/>
          <w:szCs w:val="24"/>
          <w:lang w:eastAsia="en-US"/>
        </w:rPr>
        <w:t>al., 2016). Advice from the North Cumbria University Hospitals Virology &amp; Immunology Department is that it would be appropriate to test these levels 4 weeks after vaccination and boost once if they do not reach these thresholds (Adrian Heaps, personal communication).</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r w:rsidRPr="00815EC9">
        <w:rPr>
          <w:sz w:val="24"/>
          <w:szCs w:val="24"/>
          <w:lang w:eastAsia="en-US"/>
        </w:rPr>
        <w:t xml:space="preserve">Post-vaccination protective antibody criteria for pneumococcus are not well established (Bonilla F </w:t>
      </w:r>
      <w:r w:rsidRPr="00815EC9">
        <w:rPr>
          <w:i/>
          <w:sz w:val="24"/>
          <w:szCs w:val="24"/>
          <w:lang w:eastAsia="en-US"/>
        </w:rPr>
        <w:t xml:space="preserve">et </w:t>
      </w:r>
      <w:r w:rsidRPr="00815EC9">
        <w:rPr>
          <w:sz w:val="24"/>
          <w:szCs w:val="24"/>
          <w:lang w:eastAsia="en-US"/>
        </w:rPr>
        <w:t xml:space="preserve">al., 2016). It has been suggested that very low antibody values and high values well above the proposed cut-off are both clinically informative (Adrian Heaps, personal communication). However, in the absence of readily interpretable post-vaccination antibody levels for pneumococcus, their measurement is not proposed in this guidance. </w:t>
      </w:r>
    </w:p>
    <w:p w:rsidR="00815EC9" w:rsidRPr="00815EC9" w:rsidRDefault="00815EC9" w:rsidP="00815EC9">
      <w:pPr>
        <w:spacing w:line="240" w:lineRule="auto"/>
        <w:rPr>
          <w:sz w:val="24"/>
          <w:szCs w:val="24"/>
          <w:lang w:eastAsia="en-US"/>
        </w:rPr>
      </w:pPr>
    </w:p>
    <w:p w:rsidR="00815EC9" w:rsidRPr="00815EC9" w:rsidRDefault="00815EC9" w:rsidP="00815EC9">
      <w:pPr>
        <w:keepNext/>
        <w:spacing w:line="240" w:lineRule="auto"/>
        <w:rPr>
          <w:b/>
          <w:sz w:val="24"/>
          <w:szCs w:val="24"/>
          <w:lang w:eastAsia="en-US"/>
        </w:rPr>
      </w:pPr>
      <w:r w:rsidRPr="00815EC9">
        <w:rPr>
          <w:b/>
          <w:sz w:val="24"/>
          <w:szCs w:val="24"/>
          <w:lang w:eastAsia="en-US"/>
        </w:rPr>
        <w:lastRenderedPageBreak/>
        <w:t>Summary</w:t>
      </w:r>
    </w:p>
    <w:p w:rsidR="00815EC9" w:rsidRPr="00815EC9" w:rsidRDefault="00815EC9" w:rsidP="00815EC9">
      <w:pPr>
        <w:keepNext/>
        <w:spacing w:line="240" w:lineRule="auto"/>
        <w:rPr>
          <w:b/>
          <w:sz w:val="24"/>
          <w:szCs w:val="24"/>
          <w:lang w:eastAsia="en-US"/>
        </w:rPr>
      </w:pPr>
    </w:p>
    <w:p w:rsidR="00815EC9" w:rsidRPr="00815EC9" w:rsidRDefault="00815EC9" w:rsidP="00815EC9">
      <w:pPr>
        <w:numPr>
          <w:ilvl w:val="0"/>
          <w:numId w:val="7"/>
        </w:numPr>
        <w:spacing w:line="240" w:lineRule="auto"/>
        <w:jc w:val="both"/>
        <w:rPr>
          <w:sz w:val="24"/>
          <w:szCs w:val="24"/>
          <w:lang w:eastAsia="en-US"/>
        </w:rPr>
      </w:pPr>
      <w:r w:rsidRPr="00815EC9">
        <w:rPr>
          <w:sz w:val="24"/>
          <w:szCs w:val="24"/>
          <w:lang w:eastAsia="en-US"/>
        </w:rPr>
        <w:t xml:space="preserve">The evidence base for recommending specific vaccine schedules for patients with CLL suffers from a lack of evidence about the baseline rate of infections compared with control patients and a lack of evidence of the effectiveness of offering immunisation. </w:t>
      </w:r>
    </w:p>
    <w:p w:rsidR="00815EC9" w:rsidRPr="00815EC9" w:rsidRDefault="00815EC9" w:rsidP="00815EC9">
      <w:pPr>
        <w:numPr>
          <w:ilvl w:val="0"/>
          <w:numId w:val="7"/>
        </w:numPr>
        <w:spacing w:line="240" w:lineRule="auto"/>
        <w:jc w:val="both"/>
        <w:rPr>
          <w:sz w:val="24"/>
          <w:szCs w:val="24"/>
          <w:lang w:eastAsia="en-US"/>
        </w:rPr>
      </w:pPr>
      <w:r w:rsidRPr="00815EC9">
        <w:rPr>
          <w:sz w:val="24"/>
          <w:szCs w:val="24"/>
          <w:lang w:eastAsia="en-US"/>
        </w:rPr>
        <w:t xml:space="preserve">The organisms that cause infections in CLL are mostly organisms for which immunisation is not available. </w:t>
      </w:r>
    </w:p>
    <w:p w:rsidR="00815EC9" w:rsidRPr="00815EC9" w:rsidRDefault="00815EC9" w:rsidP="00815EC9">
      <w:pPr>
        <w:numPr>
          <w:ilvl w:val="0"/>
          <w:numId w:val="7"/>
        </w:numPr>
        <w:spacing w:line="240" w:lineRule="auto"/>
        <w:jc w:val="both"/>
        <w:rPr>
          <w:sz w:val="24"/>
          <w:szCs w:val="24"/>
          <w:lang w:eastAsia="en-US"/>
        </w:rPr>
      </w:pPr>
      <w:r w:rsidRPr="00815EC9">
        <w:rPr>
          <w:sz w:val="24"/>
          <w:szCs w:val="24"/>
          <w:lang w:eastAsia="en-US"/>
        </w:rPr>
        <w:t>Patients diagnosed with CLL have a similar infection risk to those with MBL.</w:t>
      </w:r>
    </w:p>
    <w:p w:rsidR="00815EC9" w:rsidRPr="00815EC9" w:rsidRDefault="00815EC9" w:rsidP="00815EC9">
      <w:pPr>
        <w:numPr>
          <w:ilvl w:val="0"/>
          <w:numId w:val="7"/>
        </w:numPr>
        <w:spacing w:line="240" w:lineRule="auto"/>
        <w:jc w:val="both"/>
        <w:rPr>
          <w:sz w:val="24"/>
          <w:szCs w:val="24"/>
          <w:lang w:eastAsia="en-US"/>
        </w:rPr>
      </w:pPr>
      <w:r w:rsidRPr="00815EC9">
        <w:rPr>
          <w:sz w:val="24"/>
          <w:szCs w:val="24"/>
          <w:lang w:eastAsia="en-US"/>
        </w:rPr>
        <w:t xml:space="preserve">There is an historical assumption that the main reason for CLL patients being predisposed to infection is antibody deficiency, which is not supported by recent evidence. </w:t>
      </w:r>
    </w:p>
    <w:p w:rsidR="00815EC9" w:rsidRPr="00815EC9" w:rsidRDefault="00815EC9" w:rsidP="00815EC9">
      <w:pPr>
        <w:numPr>
          <w:ilvl w:val="0"/>
          <w:numId w:val="7"/>
        </w:numPr>
        <w:spacing w:line="240" w:lineRule="auto"/>
        <w:jc w:val="both"/>
        <w:rPr>
          <w:sz w:val="24"/>
          <w:szCs w:val="24"/>
          <w:lang w:eastAsia="en-US"/>
        </w:rPr>
      </w:pPr>
      <w:r w:rsidRPr="00815EC9">
        <w:rPr>
          <w:sz w:val="24"/>
          <w:szCs w:val="24"/>
          <w:lang w:eastAsia="en-US"/>
        </w:rPr>
        <w:t>Guidance on the spectrum of organisms that need to be vaccinated against and the specific vaccines that should be used is inconsistent.</w:t>
      </w:r>
    </w:p>
    <w:p w:rsidR="00815EC9" w:rsidRPr="00815EC9" w:rsidRDefault="00815EC9" w:rsidP="00815EC9">
      <w:pPr>
        <w:numPr>
          <w:ilvl w:val="0"/>
          <w:numId w:val="7"/>
        </w:numPr>
        <w:spacing w:line="240" w:lineRule="auto"/>
        <w:jc w:val="both"/>
        <w:rPr>
          <w:sz w:val="24"/>
          <w:szCs w:val="24"/>
          <w:lang w:eastAsia="en-US"/>
        </w:rPr>
      </w:pPr>
      <w:r w:rsidRPr="00815EC9">
        <w:rPr>
          <w:sz w:val="24"/>
          <w:szCs w:val="24"/>
          <w:lang w:eastAsia="en-US"/>
        </w:rPr>
        <w:t>There is no clear case for testing pre-vaccination antibody levels and the evidence of post-vaccination testing is patchy.</w:t>
      </w:r>
    </w:p>
    <w:p w:rsidR="00815EC9" w:rsidRPr="00815EC9" w:rsidRDefault="00815EC9" w:rsidP="00815EC9">
      <w:pPr>
        <w:numPr>
          <w:ilvl w:val="0"/>
          <w:numId w:val="7"/>
        </w:numPr>
        <w:spacing w:line="240" w:lineRule="auto"/>
        <w:jc w:val="both"/>
        <w:rPr>
          <w:sz w:val="24"/>
          <w:szCs w:val="24"/>
          <w:lang w:eastAsia="en-US"/>
        </w:rPr>
      </w:pPr>
      <w:proofErr w:type="spellStart"/>
      <w:r w:rsidRPr="00815EC9">
        <w:rPr>
          <w:sz w:val="24"/>
          <w:szCs w:val="24"/>
          <w:lang w:eastAsia="en-US"/>
        </w:rPr>
        <w:t>Monocomponent</w:t>
      </w:r>
      <w:proofErr w:type="spellEnd"/>
      <w:r w:rsidRPr="00815EC9">
        <w:rPr>
          <w:sz w:val="24"/>
          <w:szCs w:val="24"/>
          <w:lang w:eastAsia="en-US"/>
        </w:rPr>
        <w:t xml:space="preserve"> vaccines are not available for a number of the organisms against which vaccination may be recommended, such as Hib and tetanus. </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r w:rsidRPr="00815EC9">
        <w:rPr>
          <w:sz w:val="24"/>
          <w:szCs w:val="24"/>
          <w:lang w:eastAsia="en-US"/>
        </w:rPr>
        <w:t>The recommendations made in this guidance document are a pragmatic synthesis of the information and guidance that is currently available.</w:t>
      </w:r>
    </w:p>
    <w:p w:rsidR="00815EC9" w:rsidRPr="00815EC9" w:rsidRDefault="00815EC9" w:rsidP="00815EC9">
      <w:pPr>
        <w:spacing w:line="240" w:lineRule="auto"/>
        <w:rPr>
          <w:sz w:val="24"/>
          <w:szCs w:val="24"/>
          <w:lang w:eastAsia="en-US"/>
        </w:rPr>
      </w:pPr>
    </w:p>
    <w:p w:rsidR="00815EC9" w:rsidRPr="00815EC9" w:rsidRDefault="00815EC9" w:rsidP="00815EC9">
      <w:pPr>
        <w:keepNext/>
        <w:numPr>
          <w:ilvl w:val="1"/>
          <w:numId w:val="0"/>
        </w:numPr>
        <w:tabs>
          <w:tab w:val="num" w:pos="720"/>
        </w:tabs>
        <w:spacing w:before="240" w:after="60" w:line="240" w:lineRule="auto"/>
        <w:ind w:left="720" w:hanging="720"/>
        <w:outlineLvl w:val="1"/>
        <w:rPr>
          <w:rFonts w:cs="Arial"/>
          <w:b/>
          <w:bCs/>
          <w:iCs/>
          <w:sz w:val="24"/>
          <w:szCs w:val="28"/>
          <w:lang w:eastAsia="en-US"/>
        </w:rPr>
      </w:pPr>
      <w:bookmarkStart w:id="7" w:name="_Toc229465297"/>
      <w:bookmarkStart w:id="8" w:name="_Toc232567674"/>
      <w:bookmarkStart w:id="9" w:name="_Toc462228086"/>
      <w:r w:rsidRPr="00815EC9">
        <w:rPr>
          <w:rFonts w:cs="Arial"/>
          <w:b/>
          <w:bCs/>
          <w:iCs/>
          <w:sz w:val="24"/>
          <w:szCs w:val="28"/>
          <w:lang w:eastAsia="en-US"/>
        </w:rPr>
        <w:t>Scope</w:t>
      </w:r>
      <w:bookmarkEnd w:id="7"/>
      <w:bookmarkEnd w:id="8"/>
      <w:bookmarkEnd w:id="9"/>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r w:rsidRPr="00815EC9">
        <w:rPr>
          <w:sz w:val="24"/>
          <w:szCs w:val="24"/>
          <w:lang w:eastAsia="en-US"/>
        </w:rPr>
        <w:t>This guideline applies to all patients with CLL and MBL treated by staff employed by Harrogate and District NHS Foundation Trust (the “Trust”). It is also relevant guidance for local General Practitioners</w:t>
      </w:r>
      <w:r w:rsidRPr="00815EC9">
        <w:rPr>
          <w:sz w:val="22"/>
          <w:lang w:eastAsia="en-US"/>
        </w:rPr>
        <w:t xml:space="preserve">. </w:t>
      </w:r>
      <w:r w:rsidRPr="00815EC9">
        <w:rPr>
          <w:sz w:val="24"/>
          <w:szCs w:val="24"/>
          <w:lang w:eastAsia="en-US"/>
        </w:rPr>
        <w:t xml:space="preserve"> </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 xml:space="preserve">In the absence of alternative guidance it would be reasonable to apply the recommendations in this document to patients with other indolent lymphoproliferative conditions that cause </w:t>
      </w:r>
      <w:proofErr w:type="spellStart"/>
      <w:r w:rsidRPr="00815EC9">
        <w:rPr>
          <w:rFonts w:cs="Arial"/>
          <w:sz w:val="24"/>
          <w:szCs w:val="24"/>
          <w:lang w:eastAsia="en-US"/>
        </w:rPr>
        <w:t>immunoparesis</w:t>
      </w:r>
      <w:proofErr w:type="spellEnd"/>
      <w:r w:rsidRPr="00815EC9">
        <w:rPr>
          <w:rFonts w:cs="Arial"/>
          <w:sz w:val="24"/>
          <w:szCs w:val="24"/>
          <w:lang w:eastAsia="en-US"/>
        </w:rPr>
        <w:t xml:space="preserve"> (</w:t>
      </w:r>
      <w:r w:rsidRPr="00815EC9">
        <w:rPr>
          <w:rFonts w:cs="Arial"/>
          <w:i/>
          <w:sz w:val="24"/>
          <w:szCs w:val="24"/>
          <w:lang w:eastAsia="en-US"/>
        </w:rPr>
        <w:t>e.g</w:t>
      </w:r>
      <w:r w:rsidRPr="00815EC9">
        <w:rPr>
          <w:rFonts w:cs="Arial"/>
          <w:sz w:val="24"/>
          <w:szCs w:val="24"/>
          <w:lang w:eastAsia="en-US"/>
        </w:rPr>
        <w:t>. marginal zone lymphoma</w:t>
      </w:r>
      <w:r w:rsidRPr="00815EC9">
        <w:rPr>
          <w:sz w:val="24"/>
          <w:szCs w:val="24"/>
          <w:lang w:eastAsia="en-US"/>
        </w:rPr>
        <w:t>.</w:t>
      </w:r>
      <w:r w:rsidRPr="00815EC9">
        <w:rPr>
          <w:rFonts w:cs="Arial"/>
          <w:sz w:val="24"/>
          <w:szCs w:val="24"/>
          <w:lang w:eastAsia="en-US"/>
        </w:rPr>
        <w:t xml:space="preserve"> However, there is no substantial evidence base for such practice.</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r w:rsidRPr="00815EC9">
        <w:rPr>
          <w:sz w:val="24"/>
          <w:szCs w:val="24"/>
          <w:lang w:eastAsia="en-US"/>
        </w:rPr>
        <w:t xml:space="preserve">There are separate HDFT guidelines available for patients with absent or dysfunctional spleen (available at </w:t>
      </w:r>
      <w:hyperlink r:id="rId12" w:history="1">
        <w:r w:rsidRPr="00815EC9">
          <w:rPr>
            <w:color w:val="0000FF"/>
            <w:sz w:val="24"/>
            <w:szCs w:val="24"/>
            <w:u w:val="single"/>
            <w:lang w:eastAsia="en-US"/>
          </w:rPr>
          <w:t>http://nww.hdft.nhs.uk/EasysiteWeb/getresource.axd?AssetID=53227&amp;type=full&amp;servicetype=Attachment</w:t>
        </w:r>
      </w:hyperlink>
      <w:r w:rsidRPr="00815EC9">
        <w:rPr>
          <w:sz w:val="24"/>
          <w:szCs w:val="24"/>
          <w:lang w:eastAsia="en-US"/>
        </w:rPr>
        <w:t xml:space="preserve">), to whom these recommendations should not be applied. </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p>
    <w:p w:rsidR="00815EC9" w:rsidRPr="00815EC9" w:rsidRDefault="00815EC9" w:rsidP="00815EC9">
      <w:pPr>
        <w:keepNext/>
        <w:tabs>
          <w:tab w:val="num" w:pos="720"/>
        </w:tabs>
        <w:spacing w:before="240" w:after="60" w:line="240" w:lineRule="auto"/>
        <w:ind w:left="720" w:hanging="720"/>
        <w:outlineLvl w:val="0"/>
        <w:rPr>
          <w:rFonts w:cs="Arial"/>
          <w:b/>
          <w:bCs/>
          <w:caps/>
          <w:kern w:val="32"/>
          <w:sz w:val="28"/>
          <w:szCs w:val="28"/>
          <w:lang w:eastAsia="en-US"/>
        </w:rPr>
      </w:pPr>
      <w:bookmarkStart w:id="10" w:name="_Toc462228087"/>
      <w:r w:rsidRPr="00815EC9">
        <w:rPr>
          <w:rFonts w:cs="Arial"/>
          <w:b/>
          <w:bCs/>
          <w:caps/>
          <w:kern w:val="32"/>
          <w:sz w:val="28"/>
          <w:szCs w:val="28"/>
          <w:lang w:eastAsia="en-US"/>
        </w:rPr>
        <w:t>Guidance</w:t>
      </w:r>
      <w:bookmarkEnd w:id="10"/>
    </w:p>
    <w:p w:rsidR="00815EC9" w:rsidRPr="00815EC9" w:rsidRDefault="00815EC9" w:rsidP="00815EC9">
      <w:pPr>
        <w:spacing w:line="240" w:lineRule="auto"/>
        <w:contextualSpacing/>
        <w:rPr>
          <w:rFonts w:eastAsia="Calibri" w:cs="Arial"/>
          <w:b/>
          <w:i/>
          <w:sz w:val="24"/>
          <w:szCs w:val="24"/>
          <w:lang w:eastAsia="en-US"/>
        </w:rPr>
      </w:pPr>
    </w:p>
    <w:p w:rsidR="00815EC9" w:rsidRPr="00815EC9" w:rsidRDefault="00815EC9" w:rsidP="00815EC9">
      <w:pPr>
        <w:spacing w:line="240" w:lineRule="auto"/>
        <w:contextualSpacing/>
        <w:rPr>
          <w:rFonts w:eastAsia="Calibri" w:cs="Arial"/>
          <w:b/>
          <w:sz w:val="24"/>
          <w:szCs w:val="24"/>
          <w:lang w:eastAsia="en-US"/>
        </w:rPr>
      </w:pPr>
      <w:r w:rsidRPr="00815EC9">
        <w:rPr>
          <w:rFonts w:eastAsia="Calibri" w:cs="Arial"/>
          <w:b/>
          <w:sz w:val="24"/>
          <w:szCs w:val="24"/>
          <w:lang w:eastAsia="en-US"/>
        </w:rPr>
        <w:t>1. Pneumococcus</w:t>
      </w:r>
    </w:p>
    <w:p w:rsidR="00815EC9" w:rsidRPr="00815EC9" w:rsidRDefault="00815EC9" w:rsidP="00815EC9">
      <w:pPr>
        <w:numPr>
          <w:ilvl w:val="0"/>
          <w:numId w:val="5"/>
        </w:numPr>
        <w:spacing w:line="240" w:lineRule="auto"/>
        <w:jc w:val="both"/>
        <w:rPr>
          <w:rFonts w:cs="Arial"/>
          <w:sz w:val="24"/>
          <w:szCs w:val="24"/>
          <w:lang w:eastAsia="en-US"/>
        </w:rPr>
      </w:pPr>
      <w:r w:rsidRPr="00815EC9">
        <w:rPr>
          <w:rFonts w:cs="Arial"/>
          <w:sz w:val="24"/>
          <w:szCs w:val="24"/>
          <w:lang w:eastAsia="en-US"/>
        </w:rPr>
        <w:t xml:space="preserve">At diagnosis: </w:t>
      </w:r>
    </w:p>
    <w:p w:rsidR="00815EC9" w:rsidRPr="00815EC9" w:rsidRDefault="00815EC9" w:rsidP="00815EC9">
      <w:pPr>
        <w:numPr>
          <w:ilvl w:val="1"/>
          <w:numId w:val="5"/>
        </w:numPr>
        <w:spacing w:line="240" w:lineRule="auto"/>
        <w:jc w:val="both"/>
        <w:rPr>
          <w:rFonts w:cs="Arial"/>
          <w:sz w:val="24"/>
          <w:szCs w:val="24"/>
          <w:lang w:eastAsia="en-US"/>
        </w:rPr>
      </w:pPr>
      <w:r w:rsidRPr="00815EC9">
        <w:rPr>
          <w:rFonts w:cs="Arial"/>
          <w:sz w:val="24"/>
          <w:szCs w:val="24"/>
          <w:lang w:eastAsia="en-US"/>
        </w:rPr>
        <w:t xml:space="preserve">Patients with no previous pneumococcal vaccination: Single dose of PCV13 followed by a dose of PPV23 at least two months later. </w:t>
      </w:r>
    </w:p>
    <w:p w:rsidR="00815EC9" w:rsidRPr="00815EC9" w:rsidRDefault="00815EC9" w:rsidP="00815EC9">
      <w:pPr>
        <w:numPr>
          <w:ilvl w:val="1"/>
          <w:numId w:val="5"/>
        </w:numPr>
        <w:spacing w:line="240" w:lineRule="auto"/>
        <w:jc w:val="both"/>
        <w:rPr>
          <w:rFonts w:cs="Arial"/>
          <w:sz w:val="24"/>
          <w:szCs w:val="24"/>
          <w:lang w:eastAsia="en-US"/>
        </w:rPr>
      </w:pPr>
      <w:r w:rsidRPr="00815EC9">
        <w:rPr>
          <w:rFonts w:cs="Arial"/>
          <w:sz w:val="24"/>
          <w:szCs w:val="24"/>
          <w:lang w:eastAsia="en-US"/>
        </w:rPr>
        <w:lastRenderedPageBreak/>
        <w:t xml:space="preserve">Patients with history of previous PPV23 vaccination: Single dose of PCV13 at least one year after last dose of PPV23, followed by a dose of PPV23 at least two months later. </w:t>
      </w:r>
    </w:p>
    <w:p w:rsidR="00815EC9" w:rsidRPr="00815EC9" w:rsidRDefault="00815EC9" w:rsidP="00815EC9">
      <w:pPr>
        <w:numPr>
          <w:ilvl w:val="0"/>
          <w:numId w:val="6"/>
        </w:numPr>
        <w:spacing w:line="240" w:lineRule="auto"/>
        <w:contextualSpacing/>
        <w:jc w:val="both"/>
        <w:rPr>
          <w:rFonts w:eastAsia="Calibri" w:cs="Arial"/>
          <w:sz w:val="24"/>
          <w:szCs w:val="24"/>
          <w:lang w:eastAsia="en-US"/>
        </w:rPr>
      </w:pPr>
      <w:r w:rsidRPr="00815EC9">
        <w:rPr>
          <w:rFonts w:eastAsia="Calibri" w:cs="Arial"/>
          <w:sz w:val="24"/>
          <w:szCs w:val="24"/>
          <w:lang w:eastAsia="en-US"/>
        </w:rPr>
        <w:t xml:space="preserve">All patients: Boost with PPV23 every five years </w:t>
      </w:r>
    </w:p>
    <w:p w:rsidR="00815EC9" w:rsidRPr="00815EC9" w:rsidRDefault="00815EC9" w:rsidP="00815EC9">
      <w:pPr>
        <w:numPr>
          <w:ilvl w:val="0"/>
          <w:numId w:val="6"/>
        </w:numPr>
        <w:spacing w:line="240" w:lineRule="auto"/>
        <w:contextualSpacing/>
        <w:jc w:val="both"/>
        <w:rPr>
          <w:rFonts w:eastAsia="Calibri" w:cs="Arial"/>
          <w:sz w:val="24"/>
          <w:szCs w:val="24"/>
          <w:lang w:eastAsia="en-US"/>
        </w:rPr>
      </w:pPr>
      <w:r w:rsidRPr="00815EC9">
        <w:rPr>
          <w:rFonts w:eastAsia="Calibri" w:cs="Arial"/>
          <w:sz w:val="24"/>
          <w:szCs w:val="24"/>
          <w:lang w:eastAsia="en-US"/>
        </w:rPr>
        <w:t>See below for recommendations on post-vaccination antibody testing</w:t>
      </w:r>
    </w:p>
    <w:p w:rsidR="00815EC9" w:rsidRPr="00815EC9" w:rsidRDefault="00815EC9" w:rsidP="00815EC9">
      <w:pPr>
        <w:spacing w:line="240" w:lineRule="auto"/>
        <w:contextualSpacing/>
        <w:rPr>
          <w:rFonts w:eastAsia="Calibri" w:cs="Arial"/>
          <w:sz w:val="24"/>
          <w:szCs w:val="24"/>
          <w:lang w:eastAsia="en-US"/>
        </w:rPr>
      </w:pPr>
    </w:p>
    <w:p w:rsidR="00815EC9" w:rsidRPr="00815EC9" w:rsidRDefault="00815EC9" w:rsidP="00815EC9">
      <w:pPr>
        <w:keepNext/>
        <w:spacing w:line="240" w:lineRule="auto"/>
        <w:contextualSpacing/>
        <w:rPr>
          <w:rFonts w:eastAsia="Calibri" w:cs="Arial"/>
          <w:b/>
          <w:sz w:val="24"/>
          <w:szCs w:val="24"/>
          <w:lang w:eastAsia="en-US"/>
        </w:rPr>
      </w:pPr>
      <w:r w:rsidRPr="00815EC9">
        <w:rPr>
          <w:rFonts w:eastAsia="Calibri" w:cs="Arial"/>
          <w:b/>
          <w:sz w:val="24"/>
          <w:szCs w:val="24"/>
          <w:lang w:eastAsia="en-US"/>
        </w:rPr>
        <w:t>2.</w:t>
      </w:r>
      <w:r w:rsidRPr="00815EC9">
        <w:rPr>
          <w:rFonts w:eastAsia="Calibri" w:cs="Arial"/>
          <w:b/>
          <w:i/>
          <w:sz w:val="24"/>
          <w:szCs w:val="24"/>
          <w:lang w:eastAsia="en-US"/>
        </w:rPr>
        <w:t xml:space="preserve"> Haemophilus </w:t>
      </w:r>
      <w:proofErr w:type="spellStart"/>
      <w:r w:rsidRPr="00815EC9">
        <w:rPr>
          <w:rFonts w:eastAsia="Calibri" w:cs="Arial"/>
          <w:b/>
          <w:i/>
          <w:sz w:val="24"/>
          <w:szCs w:val="24"/>
          <w:lang w:eastAsia="en-US"/>
        </w:rPr>
        <w:t>influenzae</w:t>
      </w:r>
      <w:proofErr w:type="spellEnd"/>
      <w:r w:rsidRPr="00815EC9">
        <w:rPr>
          <w:rFonts w:eastAsia="Calibri" w:cs="Arial"/>
          <w:b/>
          <w:sz w:val="24"/>
          <w:szCs w:val="24"/>
          <w:lang w:eastAsia="en-US"/>
        </w:rPr>
        <w:t xml:space="preserve"> type B (Hib)</w:t>
      </w:r>
    </w:p>
    <w:p w:rsidR="00815EC9" w:rsidRPr="00815EC9" w:rsidRDefault="00815EC9" w:rsidP="00815EC9">
      <w:pPr>
        <w:numPr>
          <w:ilvl w:val="0"/>
          <w:numId w:val="6"/>
        </w:numPr>
        <w:spacing w:line="240" w:lineRule="auto"/>
        <w:contextualSpacing/>
        <w:jc w:val="both"/>
        <w:rPr>
          <w:rFonts w:eastAsia="Calibri" w:cs="Arial"/>
          <w:sz w:val="24"/>
          <w:szCs w:val="24"/>
          <w:lang w:eastAsia="en-US"/>
        </w:rPr>
      </w:pPr>
      <w:r w:rsidRPr="00815EC9">
        <w:rPr>
          <w:rFonts w:eastAsia="Calibri" w:cs="Arial"/>
          <w:sz w:val="24"/>
          <w:szCs w:val="24"/>
          <w:lang w:eastAsia="en-US"/>
        </w:rPr>
        <w:t>At diagnosis: Single dose of Hib/</w:t>
      </w:r>
      <w:proofErr w:type="spellStart"/>
      <w:r w:rsidRPr="00815EC9">
        <w:rPr>
          <w:rFonts w:eastAsia="Calibri" w:cs="Arial"/>
          <w:sz w:val="24"/>
          <w:szCs w:val="24"/>
          <w:lang w:eastAsia="en-US"/>
        </w:rPr>
        <w:t>MenC</w:t>
      </w:r>
      <w:proofErr w:type="spellEnd"/>
      <w:r w:rsidRPr="00815EC9">
        <w:rPr>
          <w:rFonts w:eastAsia="Calibri" w:cs="Arial"/>
          <w:sz w:val="24"/>
          <w:szCs w:val="24"/>
          <w:lang w:eastAsia="en-US"/>
        </w:rPr>
        <w:t xml:space="preserve"> if the patient has not received a Hib-containing vaccine within the past five years.</w:t>
      </w:r>
    </w:p>
    <w:p w:rsidR="00815EC9" w:rsidRPr="00815EC9" w:rsidRDefault="00815EC9" w:rsidP="00815EC9">
      <w:pPr>
        <w:numPr>
          <w:ilvl w:val="0"/>
          <w:numId w:val="6"/>
        </w:numPr>
        <w:spacing w:line="240" w:lineRule="auto"/>
        <w:contextualSpacing/>
        <w:jc w:val="both"/>
        <w:rPr>
          <w:rFonts w:eastAsia="Calibri" w:cs="Arial"/>
          <w:sz w:val="24"/>
          <w:szCs w:val="24"/>
          <w:lang w:eastAsia="en-US"/>
        </w:rPr>
      </w:pPr>
      <w:r w:rsidRPr="00815EC9">
        <w:rPr>
          <w:rFonts w:eastAsia="Calibri" w:cs="Arial"/>
          <w:sz w:val="24"/>
          <w:szCs w:val="24"/>
          <w:lang w:eastAsia="en-US"/>
        </w:rPr>
        <w:t>Single booster dose if post-vaccination antibody level is non-protective (see below for recommendations on post-vaccination antibody testing)</w:t>
      </w:r>
    </w:p>
    <w:p w:rsidR="00815EC9" w:rsidRPr="00815EC9" w:rsidRDefault="00815EC9" w:rsidP="00815EC9">
      <w:pPr>
        <w:spacing w:line="240" w:lineRule="auto"/>
        <w:contextualSpacing/>
        <w:rPr>
          <w:rFonts w:eastAsia="Calibri" w:cs="Arial"/>
          <w:sz w:val="24"/>
          <w:szCs w:val="24"/>
          <w:lang w:eastAsia="en-US"/>
        </w:rPr>
      </w:pPr>
    </w:p>
    <w:p w:rsidR="00815EC9" w:rsidRPr="00815EC9" w:rsidRDefault="00815EC9" w:rsidP="00815EC9">
      <w:pPr>
        <w:spacing w:line="240" w:lineRule="auto"/>
        <w:contextualSpacing/>
        <w:rPr>
          <w:rFonts w:eastAsia="Calibri" w:cs="Arial"/>
          <w:b/>
          <w:sz w:val="24"/>
          <w:szCs w:val="24"/>
          <w:lang w:eastAsia="en-US"/>
        </w:rPr>
      </w:pPr>
      <w:r w:rsidRPr="00815EC9">
        <w:rPr>
          <w:rFonts w:eastAsia="Calibri" w:cs="Arial"/>
          <w:b/>
          <w:sz w:val="24"/>
          <w:szCs w:val="24"/>
          <w:lang w:eastAsia="en-US"/>
        </w:rPr>
        <w:t>3.</w:t>
      </w:r>
      <w:r w:rsidRPr="00815EC9">
        <w:rPr>
          <w:rFonts w:eastAsia="Calibri" w:cs="Arial"/>
          <w:b/>
          <w:i/>
          <w:sz w:val="24"/>
          <w:szCs w:val="24"/>
          <w:lang w:eastAsia="en-US"/>
        </w:rPr>
        <w:t xml:space="preserve"> </w:t>
      </w:r>
      <w:r w:rsidRPr="00815EC9">
        <w:rPr>
          <w:rFonts w:eastAsia="Calibri" w:cs="Arial"/>
          <w:b/>
          <w:sz w:val="24"/>
          <w:szCs w:val="24"/>
          <w:lang w:eastAsia="en-US"/>
        </w:rPr>
        <w:t>Meningococcus</w:t>
      </w:r>
    </w:p>
    <w:p w:rsidR="00815EC9" w:rsidRPr="00815EC9" w:rsidRDefault="00815EC9" w:rsidP="00815EC9">
      <w:pPr>
        <w:numPr>
          <w:ilvl w:val="0"/>
          <w:numId w:val="6"/>
        </w:numPr>
        <w:spacing w:line="240" w:lineRule="auto"/>
        <w:contextualSpacing/>
        <w:jc w:val="both"/>
        <w:rPr>
          <w:rFonts w:eastAsia="Calibri" w:cs="Arial"/>
          <w:sz w:val="24"/>
          <w:szCs w:val="24"/>
          <w:lang w:eastAsia="en-US"/>
        </w:rPr>
      </w:pPr>
      <w:r w:rsidRPr="00815EC9">
        <w:rPr>
          <w:rFonts w:eastAsia="Calibri" w:cs="Arial"/>
          <w:sz w:val="24"/>
          <w:szCs w:val="24"/>
          <w:lang w:eastAsia="en-US"/>
        </w:rPr>
        <w:t xml:space="preserve">If there is no record of 4CMenB or </w:t>
      </w:r>
      <w:proofErr w:type="spellStart"/>
      <w:r w:rsidRPr="00815EC9">
        <w:rPr>
          <w:rFonts w:eastAsia="Calibri" w:cs="Arial"/>
          <w:sz w:val="24"/>
          <w:szCs w:val="24"/>
          <w:lang w:eastAsia="en-US"/>
        </w:rPr>
        <w:t>MenACWY</w:t>
      </w:r>
      <w:proofErr w:type="spellEnd"/>
      <w:r w:rsidRPr="00815EC9">
        <w:rPr>
          <w:rFonts w:eastAsia="Calibri" w:cs="Arial"/>
          <w:sz w:val="24"/>
          <w:szCs w:val="24"/>
          <w:lang w:eastAsia="en-US"/>
        </w:rPr>
        <w:t xml:space="preserve"> conjugate vaccine, these should be offered. Otherwise there are no recommendations outside of routine vaccination and travel-associated vaccination as recommended in the Green Book chapter 22</w:t>
      </w:r>
    </w:p>
    <w:p w:rsidR="00815EC9" w:rsidRPr="00815EC9" w:rsidRDefault="00815EC9" w:rsidP="00815EC9">
      <w:pPr>
        <w:spacing w:line="240" w:lineRule="auto"/>
        <w:ind w:left="720"/>
        <w:contextualSpacing/>
        <w:rPr>
          <w:rFonts w:eastAsia="Calibri" w:cs="Arial"/>
          <w:sz w:val="24"/>
          <w:szCs w:val="24"/>
          <w:lang w:eastAsia="en-US"/>
        </w:rPr>
      </w:pPr>
    </w:p>
    <w:p w:rsidR="00815EC9" w:rsidRPr="00815EC9" w:rsidRDefault="00815EC9" w:rsidP="00815EC9">
      <w:pPr>
        <w:keepNext/>
        <w:spacing w:line="240" w:lineRule="auto"/>
        <w:contextualSpacing/>
        <w:rPr>
          <w:rFonts w:eastAsia="Calibri" w:cs="Arial"/>
          <w:b/>
          <w:sz w:val="24"/>
          <w:szCs w:val="24"/>
          <w:lang w:eastAsia="en-US"/>
        </w:rPr>
      </w:pPr>
      <w:r w:rsidRPr="00815EC9">
        <w:rPr>
          <w:rFonts w:eastAsia="Calibri" w:cs="Arial"/>
          <w:b/>
          <w:sz w:val="24"/>
          <w:szCs w:val="24"/>
          <w:lang w:eastAsia="en-US"/>
        </w:rPr>
        <w:t>4. Tetanus</w:t>
      </w:r>
    </w:p>
    <w:p w:rsidR="00815EC9" w:rsidRPr="00815EC9" w:rsidRDefault="00815EC9" w:rsidP="00815EC9">
      <w:pPr>
        <w:numPr>
          <w:ilvl w:val="0"/>
          <w:numId w:val="4"/>
        </w:numPr>
        <w:spacing w:line="240" w:lineRule="auto"/>
        <w:jc w:val="both"/>
        <w:rPr>
          <w:rFonts w:cs="Arial"/>
          <w:sz w:val="24"/>
          <w:szCs w:val="24"/>
          <w:lang w:eastAsia="en-US"/>
        </w:rPr>
      </w:pPr>
      <w:r w:rsidRPr="00815EC9">
        <w:rPr>
          <w:rFonts w:cs="Arial"/>
          <w:sz w:val="24"/>
          <w:szCs w:val="24"/>
          <w:lang w:eastAsia="en-US"/>
        </w:rPr>
        <w:t>At diagnosis: Booster dose of vaccine (</w:t>
      </w:r>
      <w:proofErr w:type="spellStart"/>
      <w:r w:rsidRPr="00815EC9">
        <w:rPr>
          <w:rFonts w:cs="Arial"/>
          <w:sz w:val="24"/>
          <w:szCs w:val="24"/>
          <w:lang w:eastAsia="en-US"/>
        </w:rPr>
        <w:t>Revaxis</w:t>
      </w:r>
      <w:proofErr w:type="spellEnd"/>
      <w:r w:rsidRPr="00815EC9">
        <w:rPr>
          <w:rFonts w:cs="Arial"/>
          <w:sz w:val="24"/>
          <w:szCs w:val="24"/>
          <w:lang w:eastAsia="en-US"/>
        </w:rPr>
        <w:t xml:space="preserve"> Td/IPV) if not received in the last 10 years, with a further single booster dose if post-vaccination antibody level is non-protective (see below for recommendations on post-vaccination antibody testing)</w:t>
      </w:r>
    </w:p>
    <w:p w:rsidR="00815EC9" w:rsidRPr="00815EC9" w:rsidRDefault="00815EC9" w:rsidP="00815EC9">
      <w:pPr>
        <w:numPr>
          <w:ilvl w:val="0"/>
          <w:numId w:val="4"/>
        </w:numPr>
        <w:spacing w:line="240" w:lineRule="auto"/>
        <w:jc w:val="both"/>
        <w:rPr>
          <w:rFonts w:cs="Arial"/>
          <w:sz w:val="24"/>
          <w:szCs w:val="24"/>
          <w:lang w:eastAsia="en-US"/>
        </w:rPr>
      </w:pPr>
      <w:r w:rsidRPr="00815EC9">
        <w:rPr>
          <w:rFonts w:cs="Arial"/>
          <w:sz w:val="24"/>
          <w:szCs w:val="24"/>
          <w:lang w:eastAsia="en-US"/>
        </w:rPr>
        <w:t xml:space="preserve">All patients: Boost with </w:t>
      </w:r>
      <w:proofErr w:type="spellStart"/>
      <w:r w:rsidRPr="00815EC9">
        <w:rPr>
          <w:rFonts w:cs="Arial"/>
          <w:sz w:val="24"/>
          <w:szCs w:val="24"/>
          <w:lang w:eastAsia="en-US"/>
        </w:rPr>
        <w:t>Revaxis</w:t>
      </w:r>
      <w:proofErr w:type="spellEnd"/>
      <w:r w:rsidRPr="00815EC9">
        <w:rPr>
          <w:rFonts w:cs="Arial"/>
          <w:sz w:val="24"/>
          <w:szCs w:val="24"/>
          <w:lang w:eastAsia="en-US"/>
        </w:rPr>
        <w:t xml:space="preserve"> Td/IPV every 10 years, with additional booster if the patient sustains a ‘clean’ wound that is sufficient to require medical attention.</w:t>
      </w:r>
    </w:p>
    <w:p w:rsidR="00815EC9" w:rsidRPr="00815EC9" w:rsidRDefault="00815EC9" w:rsidP="00815EC9">
      <w:pPr>
        <w:numPr>
          <w:ilvl w:val="0"/>
          <w:numId w:val="4"/>
        </w:numPr>
        <w:spacing w:line="240" w:lineRule="auto"/>
        <w:contextualSpacing/>
        <w:jc w:val="both"/>
        <w:rPr>
          <w:rFonts w:eastAsia="Calibri" w:cs="Arial"/>
          <w:sz w:val="24"/>
          <w:szCs w:val="24"/>
          <w:lang w:eastAsia="en-US"/>
        </w:rPr>
      </w:pPr>
      <w:r w:rsidRPr="00815EC9">
        <w:rPr>
          <w:rFonts w:eastAsia="Calibri" w:cs="Arial"/>
          <w:sz w:val="24"/>
          <w:szCs w:val="24"/>
          <w:lang w:eastAsia="en-US"/>
        </w:rPr>
        <w:t xml:space="preserve">If patient sustains a tetanus-prone wound: Booster dose of </w:t>
      </w:r>
      <w:proofErr w:type="spellStart"/>
      <w:r w:rsidRPr="00815EC9">
        <w:rPr>
          <w:rFonts w:eastAsia="Calibri" w:cs="Arial"/>
          <w:sz w:val="24"/>
          <w:szCs w:val="24"/>
          <w:lang w:eastAsia="en-US"/>
        </w:rPr>
        <w:t>Revaxis</w:t>
      </w:r>
      <w:proofErr w:type="spellEnd"/>
      <w:r w:rsidRPr="00815EC9">
        <w:rPr>
          <w:rFonts w:eastAsia="Calibri" w:cs="Arial"/>
          <w:sz w:val="24"/>
          <w:szCs w:val="24"/>
          <w:lang w:eastAsia="en-US"/>
        </w:rPr>
        <w:t xml:space="preserve"> plus one dose of human tetanus immunoglobulin at a different site.</w:t>
      </w:r>
    </w:p>
    <w:p w:rsidR="00815EC9" w:rsidRPr="00815EC9" w:rsidRDefault="00815EC9" w:rsidP="00815EC9">
      <w:pPr>
        <w:spacing w:line="240" w:lineRule="auto"/>
        <w:rPr>
          <w:rFonts w:cs="Arial"/>
          <w:sz w:val="24"/>
          <w:szCs w:val="24"/>
          <w:lang w:eastAsia="en-US"/>
        </w:rPr>
      </w:pPr>
    </w:p>
    <w:p w:rsidR="00815EC9" w:rsidRPr="00815EC9" w:rsidRDefault="00815EC9" w:rsidP="00815EC9">
      <w:pPr>
        <w:keepNext/>
        <w:spacing w:line="240" w:lineRule="auto"/>
        <w:contextualSpacing/>
        <w:rPr>
          <w:rFonts w:eastAsia="Calibri" w:cs="Arial"/>
          <w:b/>
          <w:sz w:val="24"/>
          <w:szCs w:val="24"/>
          <w:lang w:eastAsia="en-US"/>
        </w:rPr>
      </w:pPr>
      <w:r w:rsidRPr="00815EC9">
        <w:rPr>
          <w:rFonts w:eastAsia="Calibri" w:cs="Arial"/>
          <w:b/>
          <w:sz w:val="24"/>
          <w:szCs w:val="24"/>
          <w:lang w:eastAsia="en-US"/>
        </w:rPr>
        <w:t>5. Diphtheria, polio, pertussis</w:t>
      </w:r>
    </w:p>
    <w:p w:rsidR="00815EC9" w:rsidRPr="00815EC9" w:rsidRDefault="00815EC9" w:rsidP="00815EC9">
      <w:pPr>
        <w:numPr>
          <w:ilvl w:val="0"/>
          <w:numId w:val="4"/>
        </w:numPr>
        <w:spacing w:line="240" w:lineRule="auto"/>
        <w:jc w:val="both"/>
        <w:rPr>
          <w:rFonts w:cs="Arial"/>
          <w:sz w:val="24"/>
          <w:szCs w:val="24"/>
          <w:lang w:eastAsia="en-US"/>
        </w:rPr>
      </w:pPr>
      <w:r w:rsidRPr="00815EC9">
        <w:rPr>
          <w:rFonts w:cs="Arial"/>
          <w:sz w:val="24"/>
          <w:szCs w:val="24"/>
          <w:lang w:eastAsia="en-US"/>
        </w:rPr>
        <w:t>Patients should be up to date with immunisation against these organisms, but no additional vaccination or boosters are required. GPs should be asked to confirm that patients have received the appropriate vaccines for their age group.</w:t>
      </w:r>
    </w:p>
    <w:p w:rsidR="00815EC9" w:rsidRPr="00815EC9" w:rsidRDefault="00815EC9" w:rsidP="00815EC9">
      <w:pPr>
        <w:spacing w:line="240" w:lineRule="auto"/>
        <w:rPr>
          <w:rFonts w:cs="Arial"/>
          <w:sz w:val="24"/>
          <w:szCs w:val="24"/>
          <w:lang w:eastAsia="en-US"/>
        </w:rPr>
      </w:pPr>
    </w:p>
    <w:p w:rsidR="00815EC9" w:rsidRPr="00815EC9" w:rsidRDefault="00815EC9" w:rsidP="00815EC9">
      <w:pPr>
        <w:keepNext/>
        <w:spacing w:line="240" w:lineRule="auto"/>
        <w:contextualSpacing/>
        <w:rPr>
          <w:rFonts w:eastAsia="Calibri" w:cs="Arial"/>
          <w:b/>
          <w:sz w:val="24"/>
          <w:szCs w:val="24"/>
          <w:lang w:eastAsia="en-US"/>
        </w:rPr>
      </w:pPr>
      <w:r w:rsidRPr="00815EC9">
        <w:rPr>
          <w:rFonts w:eastAsia="Calibri" w:cs="Arial"/>
          <w:b/>
          <w:sz w:val="24"/>
          <w:szCs w:val="24"/>
          <w:lang w:eastAsia="en-US"/>
        </w:rPr>
        <w:t>6. Influenza</w:t>
      </w:r>
    </w:p>
    <w:p w:rsidR="00815EC9" w:rsidRPr="00815EC9" w:rsidRDefault="00815EC9" w:rsidP="00815EC9">
      <w:pPr>
        <w:numPr>
          <w:ilvl w:val="0"/>
          <w:numId w:val="4"/>
        </w:numPr>
        <w:spacing w:line="240" w:lineRule="auto"/>
        <w:jc w:val="both"/>
        <w:rPr>
          <w:rFonts w:cs="Arial"/>
          <w:sz w:val="24"/>
          <w:szCs w:val="24"/>
          <w:lang w:eastAsia="en-US"/>
        </w:rPr>
      </w:pPr>
      <w:r w:rsidRPr="00815EC9">
        <w:rPr>
          <w:rFonts w:cs="Arial"/>
          <w:sz w:val="24"/>
          <w:szCs w:val="24"/>
          <w:lang w:eastAsia="en-US"/>
        </w:rPr>
        <w:t xml:space="preserve">Inactivated flu vaccine annually at the start of the flu vaccination season. There is some evidence that a second dose a month later provides an optimal serological response and this should be offered if possible.  </w:t>
      </w:r>
    </w:p>
    <w:p w:rsidR="00815EC9" w:rsidRPr="00815EC9" w:rsidRDefault="00815EC9" w:rsidP="00815EC9">
      <w:pPr>
        <w:spacing w:line="240" w:lineRule="auto"/>
        <w:contextualSpacing/>
        <w:rPr>
          <w:rFonts w:eastAsia="Calibri" w:cs="Arial"/>
          <w:sz w:val="24"/>
          <w:szCs w:val="24"/>
          <w:highlight w:val="yellow"/>
          <w:lang w:eastAsia="en-US"/>
        </w:rPr>
      </w:pPr>
    </w:p>
    <w:p w:rsidR="00815EC9" w:rsidRPr="00815EC9" w:rsidRDefault="00815EC9" w:rsidP="00815EC9">
      <w:pPr>
        <w:keepNext/>
        <w:spacing w:line="240" w:lineRule="auto"/>
        <w:contextualSpacing/>
        <w:rPr>
          <w:rFonts w:eastAsia="Calibri" w:cs="Arial"/>
          <w:b/>
          <w:sz w:val="24"/>
          <w:szCs w:val="24"/>
          <w:lang w:eastAsia="en-US"/>
        </w:rPr>
      </w:pPr>
      <w:r w:rsidRPr="00815EC9">
        <w:rPr>
          <w:rFonts w:eastAsia="Calibri" w:cs="Arial"/>
          <w:b/>
          <w:sz w:val="24"/>
          <w:szCs w:val="24"/>
          <w:lang w:eastAsia="en-US"/>
        </w:rPr>
        <w:t>7. Shingles</w:t>
      </w:r>
    </w:p>
    <w:p w:rsidR="00815EC9" w:rsidRPr="00815EC9" w:rsidRDefault="00815EC9" w:rsidP="00815EC9">
      <w:pPr>
        <w:numPr>
          <w:ilvl w:val="0"/>
          <w:numId w:val="4"/>
        </w:numPr>
        <w:spacing w:line="240" w:lineRule="auto"/>
        <w:jc w:val="both"/>
        <w:rPr>
          <w:rFonts w:cs="Arial"/>
          <w:sz w:val="24"/>
          <w:szCs w:val="24"/>
          <w:lang w:eastAsia="en-US"/>
        </w:rPr>
      </w:pPr>
      <w:r w:rsidRPr="00815EC9">
        <w:rPr>
          <w:rFonts w:cs="Arial"/>
          <w:sz w:val="24"/>
          <w:szCs w:val="24"/>
          <w:lang w:eastAsia="en-US"/>
        </w:rPr>
        <w:t>Shingles vaccine (</w:t>
      </w:r>
      <w:proofErr w:type="spellStart"/>
      <w:r w:rsidRPr="00815EC9">
        <w:rPr>
          <w:rFonts w:cs="Arial"/>
          <w:sz w:val="24"/>
          <w:szCs w:val="24"/>
          <w:lang w:eastAsia="en-US"/>
        </w:rPr>
        <w:t>Zostavax</w:t>
      </w:r>
      <w:proofErr w:type="spellEnd"/>
      <w:r w:rsidRPr="00815EC9">
        <w:rPr>
          <w:rFonts w:cs="Arial"/>
          <w:sz w:val="24"/>
          <w:szCs w:val="24"/>
          <w:lang w:eastAsia="en-US"/>
        </w:rPr>
        <w:t xml:space="preserve">), which contains live attenuated varicella zoster virus, is contraindicated in patients with acute and chronic leukaemia, and should therefore not be given in CLL (Green Book chapter 28a, </w:t>
      </w:r>
      <w:proofErr w:type="spellStart"/>
      <w:r w:rsidRPr="00815EC9">
        <w:rPr>
          <w:rFonts w:cs="Arial"/>
          <w:sz w:val="24"/>
          <w:szCs w:val="24"/>
          <w:lang w:eastAsia="en-US"/>
        </w:rPr>
        <w:t>Zostavax</w:t>
      </w:r>
      <w:proofErr w:type="spellEnd"/>
      <w:r w:rsidRPr="00815EC9">
        <w:rPr>
          <w:rFonts w:cs="Arial"/>
          <w:sz w:val="24"/>
          <w:szCs w:val="24"/>
          <w:lang w:eastAsia="en-US"/>
        </w:rPr>
        <w:t xml:space="preserve"> SPC).</w:t>
      </w:r>
    </w:p>
    <w:p w:rsidR="00815EC9" w:rsidRPr="00815EC9" w:rsidRDefault="00815EC9" w:rsidP="00815EC9">
      <w:pPr>
        <w:spacing w:line="240" w:lineRule="auto"/>
        <w:rPr>
          <w:rFonts w:cs="Arial"/>
          <w:sz w:val="24"/>
          <w:szCs w:val="24"/>
          <w:lang w:eastAsia="en-US"/>
        </w:rPr>
      </w:pPr>
    </w:p>
    <w:p w:rsidR="00815EC9" w:rsidRPr="00815EC9" w:rsidRDefault="00815EC9" w:rsidP="00815EC9">
      <w:pPr>
        <w:keepNext/>
        <w:spacing w:line="240" w:lineRule="auto"/>
        <w:rPr>
          <w:rFonts w:cs="Arial"/>
          <w:b/>
          <w:sz w:val="24"/>
          <w:szCs w:val="24"/>
          <w:lang w:eastAsia="en-US"/>
        </w:rPr>
      </w:pPr>
      <w:r w:rsidRPr="00815EC9">
        <w:rPr>
          <w:rFonts w:cs="Arial"/>
          <w:b/>
          <w:sz w:val="24"/>
          <w:szCs w:val="24"/>
          <w:lang w:eastAsia="en-US"/>
        </w:rPr>
        <w:t>8. Timing of vaccination with chemotherapy</w:t>
      </w:r>
    </w:p>
    <w:p w:rsidR="00815EC9" w:rsidRPr="00815EC9" w:rsidRDefault="00815EC9" w:rsidP="00815EC9">
      <w:pPr>
        <w:numPr>
          <w:ilvl w:val="0"/>
          <w:numId w:val="4"/>
        </w:numPr>
        <w:spacing w:line="240" w:lineRule="auto"/>
        <w:jc w:val="both"/>
        <w:rPr>
          <w:rFonts w:cs="Arial"/>
          <w:sz w:val="24"/>
          <w:szCs w:val="24"/>
          <w:lang w:eastAsia="en-US"/>
        </w:rPr>
      </w:pPr>
      <w:r w:rsidRPr="00815EC9">
        <w:rPr>
          <w:rFonts w:cs="Arial"/>
          <w:sz w:val="24"/>
          <w:szCs w:val="24"/>
          <w:lang w:eastAsia="en-US"/>
        </w:rPr>
        <w:t>If patients are treated with chemotherapy, vaccines should be given either two weeks before or six months after chemotherapy. If there is a need for chemotherapy within two weeks of vaccination, the need for repeat vaccination after its completion will need to be considered.</w:t>
      </w:r>
    </w:p>
    <w:p w:rsidR="00815EC9" w:rsidRPr="00815EC9" w:rsidRDefault="00815EC9" w:rsidP="00815EC9">
      <w:pPr>
        <w:spacing w:line="240" w:lineRule="auto"/>
        <w:rPr>
          <w:rFonts w:cs="Arial"/>
          <w:sz w:val="24"/>
          <w:szCs w:val="24"/>
          <w:lang w:eastAsia="en-US"/>
        </w:rPr>
      </w:pPr>
    </w:p>
    <w:p w:rsidR="00815EC9" w:rsidRPr="00815EC9" w:rsidRDefault="00815EC9" w:rsidP="00815EC9">
      <w:pPr>
        <w:keepNext/>
        <w:spacing w:line="240" w:lineRule="auto"/>
        <w:rPr>
          <w:rFonts w:cs="Arial"/>
          <w:sz w:val="24"/>
          <w:szCs w:val="24"/>
          <w:lang w:eastAsia="en-US"/>
        </w:rPr>
      </w:pPr>
      <w:r w:rsidRPr="00815EC9">
        <w:rPr>
          <w:rFonts w:cs="Arial"/>
          <w:b/>
          <w:sz w:val="24"/>
          <w:szCs w:val="24"/>
          <w:lang w:eastAsia="en-US"/>
        </w:rPr>
        <w:lastRenderedPageBreak/>
        <w:t>9. Pre- and post-vaccination antibody checking</w:t>
      </w:r>
    </w:p>
    <w:p w:rsidR="00815EC9" w:rsidRPr="00815EC9" w:rsidRDefault="00815EC9" w:rsidP="00815EC9">
      <w:pPr>
        <w:numPr>
          <w:ilvl w:val="0"/>
          <w:numId w:val="4"/>
        </w:numPr>
        <w:spacing w:line="240" w:lineRule="auto"/>
        <w:jc w:val="both"/>
        <w:rPr>
          <w:rFonts w:cs="Arial"/>
          <w:sz w:val="24"/>
          <w:szCs w:val="24"/>
          <w:lang w:eastAsia="en-US"/>
        </w:rPr>
      </w:pPr>
      <w:r w:rsidRPr="00815EC9">
        <w:rPr>
          <w:rFonts w:cs="Arial"/>
          <w:sz w:val="24"/>
          <w:szCs w:val="24"/>
          <w:lang w:eastAsia="en-US"/>
        </w:rPr>
        <w:t xml:space="preserve">There is no recommendation to check antibody levels routinely before giving any of the vaccinations. </w:t>
      </w:r>
    </w:p>
    <w:p w:rsidR="00815EC9" w:rsidRPr="00815EC9" w:rsidRDefault="00815EC9" w:rsidP="00815EC9">
      <w:pPr>
        <w:numPr>
          <w:ilvl w:val="0"/>
          <w:numId w:val="4"/>
        </w:numPr>
        <w:spacing w:line="240" w:lineRule="auto"/>
        <w:jc w:val="both"/>
        <w:rPr>
          <w:rFonts w:cs="Arial"/>
          <w:sz w:val="24"/>
          <w:szCs w:val="24"/>
          <w:lang w:eastAsia="en-US"/>
        </w:rPr>
      </w:pPr>
      <w:r w:rsidRPr="00815EC9">
        <w:rPr>
          <w:rFonts w:cs="Arial"/>
          <w:sz w:val="24"/>
          <w:szCs w:val="24"/>
          <w:lang w:eastAsia="en-US"/>
        </w:rPr>
        <w:t>Antibody levels against Hib and tetanus should be tested 4 weeks after vaccination. If they are “non-protective” (Hib &lt;</w:t>
      </w:r>
      <w:r w:rsidRPr="00815EC9">
        <w:rPr>
          <w:sz w:val="24"/>
          <w:szCs w:val="24"/>
          <w:lang w:eastAsia="en-US"/>
        </w:rPr>
        <w:t xml:space="preserve"> 1 </w:t>
      </w:r>
      <w:proofErr w:type="spellStart"/>
      <w:r w:rsidRPr="00815EC9">
        <w:rPr>
          <w:rFonts w:cs="Arial"/>
          <w:sz w:val="24"/>
          <w:szCs w:val="24"/>
          <w:lang w:eastAsia="en-US"/>
        </w:rPr>
        <w:t>μ</w:t>
      </w:r>
      <w:r w:rsidRPr="00815EC9">
        <w:rPr>
          <w:sz w:val="24"/>
          <w:szCs w:val="24"/>
          <w:lang w:eastAsia="en-US"/>
        </w:rPr>
        <w:t>g</w:t>
      </w:r>
      <w:proofErr w:type="spellEnd"/>
      <w:r w:rsidRPr="00815EC9">
        <w:rPr>
          <w:sz w:val="24"/>
          <w:szCs w:val="24"/>
          <w:lang w:eastAsia="en-US"/>
        </w:rPr>
        <w:t xml:space="preserve">/mL, tetanus &lt; 0.15 IU/mL) a single booster of the corresponding vaccine should be given with a re-test 4 weeks later. The re-test results are for information only; </w:t>
      </w:r>
      <w:proofErr w:type="gramStart"/>
      <w:r w:rsidRPr="00815EC9">
        <w:rPr>
          <w:sz w:val="24"/>
          <w:szCs w:val="24"/>
          <w:lang w:eastAsia="en-US"/>
        </w:rPr>
        <w:t>If</w:t>
      </w:r>
      <w:proofErr w:type="gramEnd"/>
      <w:r w:rsidRPr="00815EC9">
        <w:rPr>
          <w:sz w:val="24"/>
          <w:szCs w:val="24"/>
          <w:lang w:eastAsia="en-US"/>
        </w:rPr>
        <w:t xml:space="preserve"> they are low the patient will be considered to be a “non-responder” and no further booster is recommended.</w:t>
      </w:r>
    </w:p>
    <w:p w:rsidR="00815EC9" w:rsidRPr="00815EC9" w:rsidRDefault="00815EC9" w:rsidP="00815EC9">
      <w:pPr>
        <w:numPr>
          <w:ilvl w:val="0"/>
          <w:numId w:val="4"/>
        </w:numPr>
        <w:spacing w:line="240" w:lineRule="auto"/>
        <w:jc w:val="both"/>
        <w:rPr>
          <w:rFonts w:cs="Arial"/>
          <w:b/>
          <w:sz w:val="24"/>
          <w:szCs w:val="24"/>
          <w:lang w:eastAsia="en-US"/>
        </w:rPr>
      </w:pPr>
      <w:r w:rsidRPr="00815EC9">
        <w:rPr>
          <w:rFonts w:cs="Arial"/>
          <w:sz w:val="24"/>
          <w:szCs w:val="24"/>
          <w:lang w:eastAsia="en-US"/>
        </w:rPr>
        <w:t xml:space="preserve">If CLL patients who have been vaccinated against </w:t>
      </w:r>
      <w:r w:rsidRPr="00815EC9">
        <w:rPr>
          <w:rFonts w:cs="Arial"/>
          <w:i/>
          <w:sz w:val="24"/>
          <w:szCs w:val="24"/>
          <w:lang w:eastAsia="en-US"/>
        </w:rPr>
        <w:t xml:space="preserve">S. pneumoniae </w:t>
      </w:r>
      <w:r w:rsidRPr="00815EC9">
        <w:rPr>
          <w:rFonts w:cs="Arial"/>
          <w:sz w:val="24"/>
          <w:szCs w:val="24"/>
          <w:lang w:eastAsia="en-US"/>
        </w:rPr>
        <w:t xml:space="preserve">or Hib develop infections with these organisms, specific antibody testing should be carried out in consultation with an immunologist (advice will need to be sought externally to the Trust). The results should be interpreted according to the criteria recommended by the testing laboratory. Note that most infections with </w:t>
      </w:r>
      <w:r w:rsidRPr="00815EC9">
        <w:rPr>
          <w:rFonts w:cs="Arial"/>
          <w:i/>
          <w:sz w:val="24"/>
          <w:szCs w:val="24"/>
          <w:lang w:eastAsia="en-US"/>
        </w:rPr>
        <w:t>H. </w:t>
      </w:r>
      <w:proofErr w:type="spellStart"/>
      <w:r w:rsidRPr="00815EC9">
        <w:rPr>
          <w:rFonts w:cs="Arial"/>
          <w:i/>
          <w:sz w:val="24"/>
          <w:szCs w:val="24"/>
          <w:lang w:eastAsia="en-US"/>
        </w:rPr>
        <w:t>influenzae</w:t>
      </w:r>
      <w:proofErr w:type="spellEnd"/>
      <w:r w:rsidRPr="00815EC9">
        <w:rPr>
          <w:rFonts w:cs="Arial"/>
          <w:i/>
          <w:sz w:val="24"/>
          <w:szCs w:val="24"/>
          <w:lang w:eastAsia="en-US"/>
        </w:rPr>
        <w:t xml:space="preserve"> </w:t>
      </w:r>
      <w:r w:rsidRPr="00815EC9">
        <w:rPr>
          <w:rFonts w:cs="Arial"/>
          <w:sz w:val="24"/>
          <w:szCs w:val="24"/>
          <w:lang w:eastAsia="en-US"/>
        </w:rPr>
        <w:t>are caused by</w:t>
      </w:r>
      <w:r w:rsidRPr="00815EC9">
        <w:rPr>
          <w:rFonts w:cs="Arial"/>
          <w:i/>
          <w:sz w:val="24"/>
          <w:szCs w:val="24"/>
          <w:lang w:eastAsia="en-US"/>
        </w:rPr>
        <w:t xml:space="preserve"> </w:t>
      </w:r>
      <w:r w:rsidRPr="00815EC9">
        <w:rPr>
          <w:rFonts w:cs="Arial"/>
          <w:sz w:val="24"/>
          <w:szCs w:val="24"/>
          <w:lang w:eastAsia="en-US"/>
        </w:rPr>
        <w:t>strains other than type b, the Hib vaccine does not protect against infections with these strains, and in non</w:t>
      </w:r>
      <w:r w:rsidRPr="00815EC9">
        <w:rPr>
          <w:rFonts w:cs="Arial"/>
          <w:sz w:val="24"/>
          <w:szCs w:val="24"/>
          <w:lang w:eastAsia="en-US"/>
        </w:rPr>
        <w:noBreakHyphen/>
      </w:r>
      <w:proofErr w:type="spellStart"/>
      <w:r w:rsidRPr="00815EC9">
        <w:rPr>
          <w:rFonts w:cs="Arial"/>
          <w:sz w:val="24"/>
          <w:szCs w:val="24"/>
          <w:lang w:eastAsia="en-US"/>
        </w:rPr>
        <w:t>bacteraemic</w:t>
      </w:r>
      <w:proofErr w:type="spellEnd"/>
      <w:r w:rsidRPr="00815EC9">
        <w:rPr>
          <w:rFonts w:cs="Arial"/>
          <w:sz w:val="24"/>
          <w:szCs w:val="24"/>
          <w:lang w:eastAsia="en-US"/>
        </w:rPr>
        <w:t xml:space="preserve"> infections it is unlikely that the serotype will be known. Therefore, respiratory tract infections with </w:t>
      </w:r>
      <w:proofErr w:type="spellStart"/>
      <w:r w:rsidRPr="00815EC9">
        <w:rPr>
          <w:rFonts w:cs="Arial"/>
          <w:sz w:val="24"/>
          <w:szCs w:val="24"/>
          <w:lang w:eastAsia="en-US"/>
        </w:rPr>
        <w:t>untyped</w:t>
      </w:r>
      <w:proofErr w:type="spellEnd"/>
      <w:r w:rsidRPr="00815EC9">
        <w:rPr>
          <w:rFonts w:cs="Arial"/>
          <w:sz w:val="24"/>
          <w:szCs w:val="24"/>
          <w:lang w:eastAsia="en-US"/>
        </w:rPr>
        <w:t xml:space="preserve"> </w:t>
      </w:r>
      <w:r w:rsidRPr="00815EC9">
        <w:rPr>
          <w:rFonts w:cs="Arial"/>
          <w:i/>
          <w:sz w:val="24"/>
          <w:szCs w:val="24"/>
          <w:lang w:eastAsia="en-US"/>
        </w:rPr>
        <w:t>H. </w:t>
      </w:r>
      <w:proofErr w:type="spellStart"/>
      <w:r w:rsidRPr="00815EC9">
        <w:rPr>
          <w:rFonts w:cs="Arial"/>
          <w:i/>
          <w:sz w:val="24"/>
          <w:szCs w:val="24"/>
          <w:lang w:eastAsia="en-US"/>
        </w:rPr>
        <w:t>influenzae</w:t>
      </w:r>
      <w:proofErr w:type="spellEnd"/>
      <w:r w:rsidRPr="00815EC9">
        <w:rPr>
          <w:rFonts w:cs="Arial"/>
          <w:sz w:val="24"/>
          <w:szCs w:val="24"/>
          <w:lang w:eastAsia="en-US"/>
        </w:rPr>
        <w:t xml:space="preserve"> do not necessarily indicate vaccine failure or non</w:t>
      </w:r>
      <w:r w:rsidRPr="00815EC9">
        <w:rPr>
          <w:rFonts w:cs="Arial"/>
          <w:sz w:val="24"/>
          <w:szCs w:val="24"/>
          <w:lang w:eastAsia="en-US"/>
        </w:rPr>
        <w:noBreakHyphen/>
        <w:t>response.</w:t>
      </w:r>
    </w:p>
    <w:p w:rsidR="00815EC9" w:rsidRPr="00815EC9" w:rsidRDefault="00815EC9" w:rsidP="00815EC9">
      <w:pPr>
        <w:spacing w:line="240" w:lineRule="auto"/>
        <w:rPr>
          <w:rFonts w:cs="Arial"/>
          <w:sz w:val="24"/>
          <w:szCs w:val="24"/>
          <w:lang w:eastAsia="en-US"/>
        </w:rPr>
      </w:pPr>
    </w:p>
    <w:p w:rsidR="00815EC9" w:rsidRPr="00815EC9" w:rsidRDefault="00815EC9" w:rsidP="00815EC9">
      <w:pPr>
        <w:keepNext/>
        <w:tabs>
          <w:tab w:val="num" w:pos="720"/>
        </w:tabs>
        <w:spacing w:before="240" w:after="60" w:line="240" w:lineRule="auto"/>
        <w:ind w:left="720" w:hanging="720"/>
        <w:outlineLvl w:val="0"/>
        <w:rPr>
          <w:rFonts w:cs="Arial"/>
          <w:b/>
          <w:bCs/>
          <w:caps/>
          <w:kern w:val="32"/>
          <w:sz w:val="28"/>
          <w:szCs w:val="28"/>
          <w:lang w:eastAsia="en-US"/>
        </w:rPr>
      </w:pPr>
      <w:bookmarkStart w:id="11" w:name="_Toc229465305"/>
      <w:bookmarkStart w:id="12" w:name="_Toc232567682"/>
      <w:bookmarkStart w:id="13" w:name="_Toc462228088"/>
      <w:r w:rsidRPr="00815EC9">
        <w:rPr>
          <w:rFonts w:cs="Arial"/>
          <w:b/>
          <w:bCs/>
          <w:caps/>
          <w:kern w:val="32"/>
          <w:sz w:val="28"/>
          <w:szCs w:val="28"/>
          <w:lang w:eastAsia="en-US"/>
        </w:rPr>
        <w:t>consultation, approval and ratification process</w:t>
      </w:r>
      <w:bookmarkEnd w:id="11"/>
      <w:bookmarkEnd w:id="12"/>
      <w:bookmarkEnd w:id="13"/>
    </w:p>
    <w:p w:rsidR="00815EC9" w:rsidRPr="00815EC9" w:rsidRDefault="00815EC9" w:rsidP="00815EC9">
      <w:pPr>
        <w:spacing w:line="240" w:lineRule="auto"/>
        <w:rPr>
          <w:sz w:val="24"/>
          <w:szCs w:val="24"/>
          <w:lang w:eastAsia="en-US"/>
        </w:rPr>
      </w:pPr>
      <w:r w:rsidRPr="00815EC9">
        <w:rPr>
          <w:sz w:val="24"/>
          <w:szCs w:val="24"/>
          <w:lang w:eastAsia="en-US"/>
        </w:rPr>
        <w:t>See appendix 1 for those consulted during the preparation of the current version. The guidelines will be approved by the Clinical Lead for Haematology and a Consultant Microbiologist, prior to approval by the Area Prescribing Committee.</w:t>
      </w:r>
    </w:p>
    <w:p w:rsidR="00815EC9" w:rsidRPr="00815EC9" w:rsidRDefault="00815EC9" w:rsidP="00815EC9">
      <w:pPr>
        <w:spacing w:line="240" w:lineRule="auto"/>
        <w:rPr>
          <w:sz w:val="24"/>
          <w:szCs w:val="24"/>
          <w:lang w:eastAsia="en-US"/>
        </w:rPr>
      </w:pPr>
    </w:p>
    <w:p w:rsidR="00815EC9" w:rsidRPr="00815EC9" w:rsidRDefault="00815EC9" w:rsidP="00815EC9">
      <w:pPr>
        <w:keepNext/>
        <w:tabs>
          <w:tab w:val="num" w:pos="720"/>
        </w:tabs>
        <w:spacing w:before="240" w:after="60" w:line="240" w:lineRule="auto"/>
        <w:ind w:left="720" w:hanging="720"/>
        <w:outlineLvl w:val="0"/>
        <w:rPr>
          <w:rFonts w:cs="Arial"/>
          <w:b/>
          <w:bCs/>
          <w:caps/>
          <w:kern w:val="32"/>
          <w:sz w:val="28"/>
          <w:szCs w:val="28"/>
          <w:lang w:eastAsia="en-US"/>
        </w:rPr>
      </w:pPr>
      <w:bookmarkStart w:id="14" w:name="_Toc229465309"/>
      <w:bookmarkStart w:id="15" w:name="_Toc232567686"/>
      <w:bookmarkStart w:id="16" w:name="_Toc462228089"/>
      <w:r w:rsidRPr="00815EC9">
        <w:rPr>
          <w:rFonts w:cs="Arial"/>
          <w:b/>
          <w:bCs/>
          <w:caps/>
          <w:kern w:val="32"/>
          <w:sz w:val="28"/>
          <w:szCs w:val="28"/>
          <w:lang w:eastAsia="en-US"/>
        </w:rPr>
        <w:t>document control</w:t>
      </w:r>
      <w:bookmarkEnd w:id="14"/>
      <w:bookmarkEnd w:id="15"/>
      <w:bookmarkEnd w:id="16"/>
    </w:p>
    <w:p w:rsidR="00815EC9" w:rsidRPr="00815EC9" w:rsidRDefault="00815EC9" w:rsidP="00815EC9">
      <w:pPr>
        <w:spacing w:line="240" w:lineRule="auto"/>
        <w:rPr>
          <w:rFonts w:cs="Arial"/>
          <w:sz w:val="24"/>
          <w:szCs w:val="24"/>
          <w:lang w:eastAsia="en-US"/>
        </w:rPr>
      </w:pPr>
      <w:r w:rsidRPr="00815EC9">
        <w:rPr>
          <w:rFonts w:cs="Arial"/>
          <w:sz w:val="24"/>
          <w:szCs w:val="24"/>
          <w:lang w:eastAsia="en-US"/>
        </w:rPr>
        <w:t xml:space="preserve">The guideline will be published on the intranet with a review date of 2 years. It will be reviewed earlier if national guidance changes. Printed copies are only valid on the day printed. </w:t>
      </w:r>
    </w:p>
    <w:p w:rsidR="00815EC9" w:rsidRPr="00815EC9" w:rsidRDefault="00815EC9" w:rsidP="00815EC9">
      <w:pPr>
        <w:spacing w:line="240" w:lineRule="auto"/>
        <w:rPr>
          <w:sz w:val="24"/>
          <w:szCs w:val="24"/>
          <w:lang w:eastAsia="en-US"/>
        </w:rPr>
      </w:pPr>
    </w:p>
    <w:p w:rsidR="00815EC9" w:rsidRPr="00815EC9" w:rsidRDefault="00815EC9" w:rsidP="00815EC9">
      <w:pPr>
        <w:keepNext/>
        <w:tabs>
          <w:tab w:val="num" w:pos="720"/>
        </w:tabs>
        <w:spacing w:before="240" w:after="60" w:line="240" w:lineRule="auto"/>
        <w:ind w:left="720" w:hanging="720"/>
        <w:outlineLvl w:val="0"/>
        <w:rPr>
          <w:rFonts w:cs="Arial"/>
          <w:b/>
          <w:bCs/>
          <w:caps/>
          <w:kern w:val="32"/>
          <w:sz w:val="28"/>
          <w:szCs w:val="28"/>
          <w:lang w:eastAsia="en-US"/>
        </w:rPr>
      </w:pPr>
      <w:bookmarkStart w:id="17" w:name="_Toc229465314"/>
      <w:bookmarkStart w:id="18" w:name="_Toc232567691"/>
      <w:bookmarkStart w:id="19" w:name="_Toc462228090"/>
      <w:r w:rsidRPr="00815EC9">
        <w:rPr>
          <w:rFonts w:cs="Arial"/>
          <w:b/>
          <w:bCs/>
          <w:caps/>
          <w:kern w:val="32"/>
          <w:sz w:val="28"/>
          <w:szCs w:val="28"/>
          <w:lang w:eastAsia="en-US"/>
        </w:rPr>
        <w:t>dissemination and implementation</w:t>
      </w:r>
      <w:bookmarkEnd w:id="17"/>
      <w:bookmarkEnd w:id="18"/>
      <w:bookmarkEnd w:id="19"/>
    </w:p>
    <w:p w:rsidR="00815EC9" w:rsidRPr="00815EC9" w:rsidRDefault="00815EC9" w:rsidP="00815EC9">
      <w:pPr>
        <w:spacing w:line="240" w:lineRule="auto"/>
        <w:rPr>
          <w:sz w:val="24"/>
          <w:szCs w:val="24"/>
          <w:lang w:eastAsia="en-US"/>
        </w:rPr>
      </w:pPr>
      <w:r w:rsidRPr="00815EC9">
        <w:rPr>
          <w:sz w:val="24"/>
          <w:szCs w:val="24"/>
          <w:lang w:eastAsia="en-US"/>
        </w:rPr>
        <w:t>The guideline will be disseminated to all relevant staff, including local General Practitioners</w:t>
      </w:r>
    </w:p>
    <w:p w:rsidR="00815EC9" w:rsidRPr="00815EC9" w:rsidRDefault="00815EC9" w:rsidP="00815EC9">
      <w:pPr>
        <w:keepNext/>
        <w:tabs>
          <w:tab w:val="num" w:pos="720"/>
        </w:tabs>
        <w:spacing w:before="240" w:after="60" w:line="240" w:lineRule="auto"/>
        <w:ind w:left="720" w:hanging="720"/>
        <w:outlineLvl w:val="0"/>
        <w:rPr>
          <w:rFonts w:cs="Arial"/>
          <w:b/>
          <w:bCs/>
          <w:caps/>
          <w:kern w:val="32"/>
          <w:sz w:val="28"/>
          <w:szCs w:val="28"/>
          <w:lang w:eastAsia="en-US"/>
        </w:rPr>
      </w:pPr>
      <w:bookmarkStart w:id="20" w:name="_Toc229465318"/>
      <w:bookmarkStart w:id="21" w:name="_Toc232567695"/>
      <w:bookmarkStart w:id="22" w:name="_Toc462228091"/>
      <w:r w:rsidRPr="00815EC9">
        <w:rPr>
          <w:rFonts w:cs="Arial"/>
          <w:b/>
          <w:bCs/>
          <w:caps/>
          <w:kern w:val="32"/>
          <w:sz w:val="28"/>
          <w:szCs w:val="28"/>
          <w:lang w:eastAsia="en-US"/>
        </w:rPr>
        <w:t>Monitoring compliance and effectiveness</w:t>
      </w:r>
      <w:bookmarkEnd w:id="20"/>
      <w:bookmarkEnd w:id="21"/>
      <w:bookmarkEnd w:id="22"/>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r w:rsidRPr="00815EC9">
        <w:rPr>
          <w:sz w:val="22"/>
          <w:lang w:eastAsia="en-US"/>
        </w:rPr>
        <w:t xml:space="preserve">Any clinical incidents will be detected via the incident reporting processes. Audit of compliance will be considered within the annual audit planning process. </w:t>
      </w:r>
    </w:p>
    <w:p w:rsidR="00815EC9" w:rsidRPr="00815EC9" w:rsidRDefault="00815EC9" w:rsidP="00815EC9">
      <w:pPr>
        <w:spacing w:line="240" w:lineRule="auto"/>
        <w:rPr>
          <w:sz w:val="24"/>
          <w:szCs w:val="24"/>
          <w:lang w:eastAsia="en-US"/>
        </w:rPr>
      </w:pPr>
    </w:p>
    <w:p w:rsidR="00815EC9" w:rsidRPr="00815EC9" w:rsidRDefault="00815EC9" w:rsidP="00815EC9">
      <w:pPr>
        <w:keepNext/>
        <w:tabs>
          <w:tab w:val="num" w:pos="720"/>
        </w:tabs>
        <w:spacing w:before="240" w:after="60" w:line="240" w:lineRule="auto"/>
        <w:ind w:left="720" w:hanging="720"/>
        <w:outlineLvl w:val="0"/>
        <w:rPr>
          <w:rFonts w:cs="Arial"/>
          <w:b/>
          <w:bCs/>
          <w:caps/>
          <w:kern w:val="32"/>
          <w:sz w:val="28"/>
          <w:szCs w:val="28"/>
          <w:lang w:eastAsia="en-US"/>
        </w:rPr>
      </w:pPr>
      <w:bookmarkStart w:id="23" w:name="_Toc229465324"/>
      <w:bookmarkStart w:id="24" w:name="_Toc232567701"/>
      <w:bookmarkStart w:id="25" w:name="_Toc462228092"/>
      <w:r w:rsidRPr="00815EC9">
        <w:rPr>
          <w:rFonts w:cs="Arial"/>
          <w:b/>
          <w:bCs/>
          <w:caps/>
          <w:kern w:val="32"/>
          <w:sz w:val="28"/>
          <w:szCs w:val="28"/>
          <w:lang w:eastAsia="en-US"/>
        </w:rPr>
        <w:t>Reference DOCUMENTS</w:t>
      </w:r>
      <w:bookmarkEnd w:id="23"/>
      <w:bookmarkEnd w:id="24"/>
      <w:bookmarkEnd w:id="25"/>
    </w:p>
    <w:p w:rsidR="00815EC9" w:rsidRPr="00815EC9" w:rsidRDefault="00815EC9" w:rsidP="00815EC9">
      <w:pPr>
        <w:spacing w:line="240" w:lineRule="auto"/>
        <w:rPr>
          <w:rFonts w:cs="Arial"/>
          <w:sz w:val="24"/>
          <w:szCs w:val="24"/>
          <w:lang w:eastAsia="en-US"/>
        </w:rPr>
      </w:pPr>
    </w:p>
    <w:p w:rsidR="00815EC9" w:rsidRPr="00815EC9" w:rsidRDefault="00815EC9" w:rsidP="00815EC9">
      <w:pPr>
        <w:numPr>
          <w:ilvl w:val="0"/>
          <w:numId w:val="8"/>
        </w:numPr>
        <w:spacing w:line="240" w:lineRule="auto"/>
        <w:jc w:val="both"/>
        <w:rPr>
          <w:rFonts w:eastAsia="Calibri" w:cs="Arial"/>
          <w:sz w:val="24"/>
          <w:szCs w:val="24"/>
          <w:lang w:val="x-none" w:eastAsia="en-US"/>
        </w:rPr>
      </w:pPr>
      <w:r w:rsidRPr="00815EC9">
        <w:rPr>
          <w:rFonts w:eastAsia="Calibri" w:cs="Arial"/>
          <w:sz w:val="24"/>
          <w:szCs w:val="24"/>
          <w:lang w:eastAsia="en-US"/>
        </w:rPr>
        <w:t xml:space="preserve">Bonilla FA </w:t>
      </w:r>
      <w:r w:rsidRPr="00815EC9">
        <w:rPr>
          <w:rFonts w:eastAsia="Calibri" w:cs="Arial"/>
          <w:i/>
          <w:sz w:val="24"/>
          <w:szCs w:val="24"/>
          <w:lang w:eastAsia="en-US"/>
        </w:rPr>
        <w:t>et al</w:t>
      </w:r>
      <w:r w:rsidRPr="00815EC9">
        <w:rPr>
          <w:rFonts w:eastAsia="Calibri" w:cs="Arial"/>
          <w:sz w:val="24"/>
          <w:szCs w:val="24"/>
          <w:lang w:eastAsia="en-US"/>
        </w:rPr>
        <w:t xml:space="preserve">. International Consensus Document (ICON): Common Variable Immunodeficiency Disorders. J Allergy </w:t>
      </w:r>
      <w:proofErr w:type="spellStart"/>
      <w:r w:rsidRPr="00815EC9">
        <w:rPr>
          <w:rFonts w:eastAsia="Calibri" w:cs="Arial"/>
          <w:sz w:val="24"/>
          <w:szCs w:val="24"/>
          <w:lang w:eastAsia="en-US"/>
        </w:rPr>
        <w:t>Clin</w:t>
      </w:r>
      <w:proofErr w:type="spellEnd"/>
      <w:r w:rsidRPr="00815EC9">
        <w:rPr>
          <w:rFonts w:eastAsia="Calibri" w:cs="Arial"/>
          <w:sz w:val="24"/>
          <w:szCs w:val="24"/>
          <w:lang w:eastAsia="en-US"/>
        </w:rPr>
        <w:t xml:space="preserve"> </w:t>
      </w:r>
      <w:proofErr w:type="spellStart"/>
      <w:r w:rsidRPr="00815EC9">
        <w:rPr>
          <w:rFonts w:eastAsia="Calibri" w:cs="Arial"/>
          <w:sz w:val="24"/>
          <w:szCs w:val="24"/>
          <w:lang w:eastAsia="en-US"/>
        </w:rPr>
        <w:t>Immunol</w:t>
      </w:r>
      <w:proofErr w:type="spellEnd"/>
      <w:r w:rsidRPr="00815EC9">
        <w:rPr>
          <w:rFonts w:eastAsia="Calibri" w:cs="Arial"/>
          <w:sz w:val="24"/>
          <w:szCs w:val="24"/>
          <w:lang w:eastAsia="en-US"/>
        </w:rPr>
        <w:t xml:space="preserve"> </w:t>
      </w:r>
      <w:proofErr w:type="spellStart"/>
      <w:r w:rsidRPr="00815EC9">
        <w:rPr>
          <w:rFonts w:eastAsia="Calibri" w:cs="Arial"/>
          <w:sz w:val="24"/>
          <w:szCs w:val="24"/>
          <w:lang w:eastAsia="en-US"/>
        </w:rPr>
        <w:t>Pract</w:t>
      </w:r>
      <w:proofErr w:type="spellEnd"/>
      <w:r w:rsidRPr="00815EC9">
        <w:rPr>
          <w:rFonts w:eastAsia="Calibri" w:cs="Arial"/>
          <w:sz w:val="24"/>
          <w:szCs w:val="24"/>
          <w:lang w:eastAsia="en-US"/>
        </w:rPr>
        <w:t xml:space="preserve"> (2016); 4(1):38-59. Available at &lt;</w:t>
      </w:r>
      <w:hyperlink r:id="rId13" w:history="1">
        <w:r w:rsidRPr="00815EC9">
          <w:rPr>
            <w:rFonts w:eastAsia="Calibri" w:cs="Arial"/>
            <w:color w:val="0000FF"/>
            <w:sz w:val="24"/>
            <w:szCs w:val="24"/>
            <w:u w:val="single"/>
            <w:lang w:val="x-none" w:eastAsia="en-US"/>
          </w:rPr>
          <w:t>http://www.sciencedirect.com/science/article/pii/S2213219815004419/pdfft?md5=2d67ee88c2786925a7aa2f37f6de62b5&amp;pid=1-s2.0-S2213219815004419-main.pdf</w:t>
        </w:r>
      </w:hyperlink>
      <w:r w:rsidRPr="00815EC9">
        <w:rPr>
          <w:rFonts w:eastAsia="Calibri" w:cs="Arial"/>
          <w:sz w:val="24"/>
          <w:szCs w:val="24"/>
          <w:lang w:eastAsia="en-US"/>
        </w:rPr>
        <w:t>&gt; (accessed 21 September 2016)</w:t>
      </w:r>
    </w:p>
    <w:p w:rsidR="00815EC9" w:rsidRPr="00815EC9" w:rsidRDefault="00815EC9" w:rsidP="00815EC9">
      <w:pPr>
        <w:spacing w:line="240" w:lineRule="auto"/>
        <w:ind w:left="357"/>
        <w:rPr>
          <w:rFonts w:eastAsia="Calibri" w:cs="Arial"/>
          <w:sz w:val="24"/>
          <w:szCs w:val="24"/>
          <w:lang w:eastAsia="en-US"/>
        </w:rPr>
      </w:pPr>
    </w:p>
    <w:p w:rsidR="00815EC9" w:rsidRPr="00815EC9" w:rsidRDefault="00815EC9" w:rsidP="00815EC9">
      <w:pPr>
        <w:numPr>
          <w:ilvl w:val="0"/>
          <w:numId w:val="8"/>
        </w:numPr>
        <w:spacing w:line="240" w:lineRule="auto"/>
        <w:ind w:left="714" w:hanging="357"/>
        <w:jc w:val="both"/>
        <w:rPr>
          <w:rFonts w:eastAsia="Calibri" w:cs="Arial"/>
          <w:sz w:val="24"/>
          <w:szCs w:val="24"/>
          <w:lang w:val="x-none" w:eastAsia="en-US"/>
        </w:rPr>
      </w:pPr>
      <w:r w:rsidRPr="00815EC9">
        <w:rPr>
          <w:rFonts w:eastAsia="Calibri" w:cs="Arial"/>
          <w:sz w:val="24"/>
          <w:szCs w:val="24"/>
          <w:lang w:val="x-none" w:eastAsia="en-US"/>
        </w:rPr>
        <w:lastRenderedPageBreak/>
        <w:t xml:space="preserve">De Lavallade </w:t>
      </w:r>
      <w:r w:rsidRPr="00815EC9">
        <w:rPr>
          <w:rFonts w:eastAsia="Calibri" w:cs="Arial"/>
          <w:i/>
          <w:sz w:val="24"/>
          <w:szCs w:val="24"/>
          <w:lang w:val="x-none" w:eastAsia="en-US"/>
        </w:rPr>
        <w:t xml:space="preserve">et al. </w:t>
      </w:r>
      <w:proofErr w:type="spellStart"/>
      <w:r w:rsidRPr="00815EC9">
        <w:rPr>
          <w:rFonts w:eastAsia="Calibri" w:cs="Arial"/>
          <w:i/>
          <w:sz w:val="24"/>
          <w:szCs w:val="24"/>
          <w:lang w:val="x-none" w:eastAsia="en-US"/>
        </w:rPr>
        <w:t>Haematologica</w:t>
      </w:r>
      <w:proofErr w:type="spellEnd"/>
      <w:r w:rsidRPr="00815EC9">
        <w:rPr>
          <w:rFonts w:eastAsia="Calibri" w:cs="Arial"/>
          <w:sz w:val="24"/>
          <w:szCs w:val="24"/>
          <w:lang w:val="x-none" w:eastAsia="en-US"/>
        </w:rPr>
        <w:t xml:space="preserve"> (2011) 96: 307-14</w:t>
      </w:r>
    </w:p>
    <w:p w:rsidR="00815EC9" w:rsidRPr="00815EC9" w:rsidRDefault="00815EC9" w:rsidP="00815EC9">
      <w:pPr>
        <w:spacing w:line="240" w:lineRule="auto"/>
        <w:rPr>
          <w:rFonts w:eastAsia="Calibri" w:cs="Arial"/>
          <w:sz w:val="24"/>
          <w:szCs w:val="24"/>
          <w:lang w:val="x-none" w:eastAsia="en-US"/>
        </w:rPr>
      </w:pPr>
    </w:p>
    <w:p w:rsidR="00815EC9" w:rsidRPr="00815EC9" w:rsidRDefault="00815EC9" w:rsidP="00815EC9">
      <w:pPr>
        <w:numPr>
          <w:ilvl w:val="0"/>
          <w:numId w:val="8"/>
        </w:numPr>
        <w:spacing w:line="240" w:lineRule="auto"/>
        <w:jc w:val="both"/>
        <w:rPr>
          <w:rFonts w:eastAsia="Calibri" w:cs="Arial"/>
          <w:sz w:val="24"/>
          <w:szCs w:val="24"/>
          <w:lang w:val="x-none" w:eastAsia="en-US"/>
        </w:rPr>
      </w:pPr>
      <w:r w:rsidRPr="00815EC9">
        <w:rPr>
          <w:rFonts w:eastAsia="Calibri" w:cs="Arial"/>
          <w:sz w:val="24"/>
          <w:szCs w:val="24"/>
          <w:lang w:val="x-none" w:eastAsia="en-US"/>
        </w:rPr>
        <w:t xml:space="preserve">Department of Health Green Book Immunisation against Infectious Disease Chapter 7, </w:t>
      </w:r>
      <w:r w:rsidRPr="00815EC9">
        <w:rPr>
          <w:rFonts w:eastAsia="Calibri" w:cs="Arial"/>
          <w:i/>
          <w:sz w:val="24"/>
          <w:szCs w:val="24"/>
          <w:lang w:val="x-none" w:eastAsia="en-US"/>
        </w:rPr>
        <w:t>Immunisation of individuals with underlying medical conditions</w:t>
      </w:r>
      <w:r w:rsidRPr="00815EC9">
        <w:rPr>
          <w:rFonts w:eastAsia="Calibri" w:cs="Arial"/>
          <w:sz w:val="24"/>
          <w:szCs w:val="24"/>
          <w:lang w:val="x-none" w:eastAsia="en-US"/>
        </w:rPr>
        <w:t xml:space="preserve">, updated May 2014. Available at </w:t>
      </w:r>
      <w:hyperlink r:id="rId14" w:history="1">
        <w:r w:rsidRPr="00815EC9">
          <w:rPr>
            <w:rFonts w:eastAsia="Calibri" w:cs="Arial"/>
            <w:color w:val="0000FF"/>
            <w:sz w:val="24"/>
            <w:szCs w:val="24"/>
            <w:u w:val="single"/>
            <w:lang w:val="x-none" w:eastAsia="en-US"/>
          </w:rPr>
          <w:t>https://www</w:t>
        </w:r>
        <w:r w:rsidRPr="00815EC9">
          <w:rPr>
            <w:rFonts w:eastAsia="Calibri" w:cs="Arial"/>
            <w:color w:val="0000FF"/>
            <w:sz w:val="24"/>
            <w:szCs w:val="24"/>
            <w:u w:val="single"/>
            <w:lang w:val="x-none" w:eastAsia="en-US"/>
          </w:rPr>
          <w:t>.</w:t>
        </w:r>
        <w:r w:rsidRPr="00815EC9">
          <w:rPr>
            <w:rFonts w:eastAsia="Calibri" w:cs="Arial"/>
            <w:color w:val="0000FF"/>
            <w:sz w:val="24"/>
            <w:szCs w:val="24"/>
            <w:u w:val="single"/>
            <w:lang w:val="x-none" w:eastAsia="en-US"/>
          </w:rPr>
          <w:t>gov</w:t>
        </w:r>
        <w:r w:rsidRPr="00815EC9">
          <w:rPr>
            <w:rFonts w:eastAsia="Calibri" w:cs="Arial"/>
            <w:color w:val="0000FF"/>
            <w:sz w:val="24"/>
            <w:szCs w:val="24"/>
            <w:u w:val="single"/>
            <w:lang w:val="x-none" w:eastAsia="en-US"/>
          </w:rPr>
          <w:t>.</w:t>
        </w:r>
        <w:r w:rsidRPr="00815EC9">
          <w:rPr>
            <w:rFonts w:eastAsia="Calibri" w:cs="Arial"/>
            <w:color w:val="0000FF"/>
            <w:sz w:val="24"/>
            <w:szCs w:val="24"/>
            <w:u w:val="single"/>
            <w:lang w:val="x-none" w:eastAsia="en-US"/>
          </w:rPr>
          <w:t>uk/government/uploads/system/uploads/attachment_data/file/309218/Green_Book_Chapter_7_v1_3.pdf</w:t>
        </w:r>
      </w:hyperlink>
    </w:p>
    <w:p w:rsidR="00815EC9" w:rsidRPr="00815EC9" w:rsidRDefault="00815EC9" w:rsidP="00815EC9">
      <w:pPr>
        <w:spacing w:line="240" w:lineRule="auto"/>
        <w:rPr>
          <w:rFonts w:eastAsia="Calibri" w:cs="Arial"/>
          <w:sz w:val="24"/>
          <w:szCs w:val="24"/>
          <w:lang w:val="x-none" w:eastAsia="en-US"/>
        </w:rPr>
      </w:pPr>
    </w:p>
    <w:p w:rsidR="00815EC9" w:rsidRPr="00815EC9" w:rsidRDefault="00815EC9" w:rsidP="00815EC9">
      <w:pPr>
        <w:numPr>
          <w:ilvl w:val="0"/>
          <w:numId w:val="8"/>
        </w:numPr>
        <w:spacing w:line="240" w:lineRule="auto"/>
        <w:jc w:val="both"/>
        <w:rPr>
          <w:rFonts w:eastAsia="Calibri" w:cs="Arial"/>
          <w:sz w:val="24"/>
          <w:szCs w:val="24"/>
          <w:lang w:val="x-none" w:eastAsia="en-US"/>
        </w:rPr>
      </w:pPr>
      <w:r w:rsidRPr="00815EC9">
        <w:rPr>
          <w:rFonts w:eastAsia="Calibri" w:cs="Arial"/>
          <w:sz w:val="24"/>
          <w:szCs w:val="24"/>
          <w:lang w:val="x-none" w:eastAsia="en-US"/>
        </w:rPr>
        <w:t xml:space="preserve">Department of Health Green Book Immunisation against Infectious Disease Chapter 16, </w:t>
      </w:r>
      <w:r w:rsidRPr="00815EC9">
        <w:rPr>
          <w:rFonts w:eastAsia="Calibri" w:cs="Arial"/>
          <w:i/>
          <w:sz w:val="24"/>
          <w:szCs w:val="24"/>
          <w:lang w:val="x-none" w:eastAsia="en-US"/>
        </w:rPr>
        <w:t xml:space="preserve">Haemophilus </w:t>
      </w:r>
      <w:proofErr w:type="spellStart"/>
      <w:r w:rsidRPr="00815EC9">
        <w:rPr>
          <w:rFonts w:eastAsia="Calibri" w:cs="Arial"/>
          <w:i/>
          <w:sz w:val="24"/>
          <w:szCs w:val="24"/>
          <w:lang w:val="x-none" w:eastAsia="en-US"/>
        </w:rPr>
        <w:t>influenzae</w:t>
      </w:r>
      <w:proofErr w:type="spellEnd"/>
      <w:r w:rsidRPr="00815EC9">
        <w:rPr>
          <w:rFonts w:eastAsia="Calibri" w:cs="Arial"/>
          <w:i/>
          <w:sz w:val="24"/>
          <w:szCs w:val="24"/>
          <w:lang w:val="x-none" w:eastAsia="en-US"/>
        </w:rPr>
        <w:t xml:space="preserve"> type b (Hib)</w:t>
      </w:r>
      <w:r w:rsidRPr="00815EC9">
        <w:rPr>
          <w:rFonts w:eastAsia="Calibri" w:cs="Arial"/>
          <w:sz w:val="24"/>
          <w:szCs w:val="24"/>
          <w:lang w:val="x-none" w:eastAsia="en-US"/>
        </w:rPr>
        <w:t xml:space="preserve">, updated March 2011. Available at </w:t>
      </w:r>
      <w:hyperlink r:id="rId15" w:history="1">
        <w:r w:rsidRPr="00815EC9">
          <w:rPr>
            <w:rFonts w:eastAsia="Calibri" w:cs="Arial"/>
            <w:color w:val="0000FF"/>
            <w:sz w:val="24"/>
            <w:szCs w:val="24"/>
            <w:u w:val="single"/>
            <w:lang w:val="x-none" w:eastAsia="en-US"/>
          </w:rPr>
          <w:t>https://www.gov.uk/government/uploads/system/uploads/attachment_data/file/147953/Green-Book-Chapter-16.pdf</w:t>
        </w:r>
      </w:hyperlink>
    </w:p>
    <w:p w:rsidR="00815EC9" w:rsidRPr="00815EC9" w:rsidRDefault="00815EC9" w:rsidP="00815EC9">
      <w:pPr>
        <w:spacing w:line="240" w:lineRule="auto"/>
        <w:ind w:left="720"/>
        <w:contextualSpacing/>
        <w:rPr>
          <w:rFonts w:eastAsia="Calibri" w:cs="Arial"/>
          <w:sz w:val="24"/>
          <w:szCs w:val="24"/>
          <w:lang w:eastAsia="en-US"/>
        </w:rPr>
      </w:pPr>
    </w:p>
    <w:p w:rsidR="00815EC9" w:rsidRPr="00815EC9" w:rsidRDefault="00815EC9" w:rsidP="00815EC9">
      <w:pPr>
        <w:numPr>
          <w:ilvl w:val="0"/>
          <w:numId w:val="8"/>
        </w:numPr>
        <w:spacing w:line="240" w:lineRule="auto"/>
        <w:jc w:val="both"/>
        <w:rPr>
          <w:rFonts w:eastAsia="Calibri" w:cs="Arial"/>
          <w:sz w:val="24"/>
          <w:szCs w:val="24"/>
          <w:lang w:val="x-none" w:eastAsia="en-US"/>
        </w:rPr>
      </w:pPr>
      <w:r w:rsidRPr="00815EC9">
        <w:rPr>
          <w:rFonts w:eastAsia="Calibri" w:cs="Arial"/>
          <w:sz w:val="24"/>
          <w:szCs w:val="24"/>
          <w:lang w:val="x-none" w:eastAsia="en-US"/>
        </w:rPr>
        <w:t xml:space="preserve">Department of Health Green Book Immunisation against Infectious Disease Chapter 22, </w:t>
      </w:r>
      <w:r w:rsidRPr="00815EC9">
        <w:rPr>
          <w:rFonts w:eastAsia="Calibri" w:cs="Arial"/>
          <w:i/>
          <w:sz w:val="24"/>
          <w:szCs w:val="24"/>
          <w:lang w:val="x-none" w:eastAsia="en-US"/>
        </w:rPr>
        <w:t>Meningococcal</w:t>
      </w:r>
      <w:r w:rsidRPr="00815EC9">
        <w:rPr>
          <w:rFonts w:eastAsia="Calibri" w:cs="Arial"/>
          <w:sz w:val="24"/>
          <w:szCs w:val="24"/>
          <w:lang w:val="x-none" w:eastAsia="en-US"/>
        </w:rPr>
        <w:t xml:space="preserve">, updated July 2016. Available at </w:t>
      </w:r>
      <w:hyperlink r:id="rId16" w:history="1">
        <w:r w:rsidRPr="00815EC9">
          <w:rPr>
            <w:rFonts w:eastAsia="Calibri" w:cs="Arial"/>
            <w:color w:val="0000FF"/>
            <w:sz w:val="24"/>
            <w:szCs w:val="24"/>
            <w:u w:val="single"/>
            <w:lang w:val="x-none" w:eastAsia="en-US"/>
          </w:rPr>
          <w:t>https://www.gov</w:t>
        </w:r>
        <w:r w:rsidRPr="00815EC9">
          <w:rPr>
            <w:rFonts w:eastAsia="Calibri" w:cs="Arial"/>
            <w:color w:val="0000FF"/>
            <w:sz w:val="24"/>
            <w:szCs w:val="24"/>
            <w:u w:val="single"/>
            <w:lang w:val="x-none" w:eastAsia="en-US"/>
          </w:rPr>
          <w:t>.</w:t>
        </w:r>
        <w:r w:rsidRPr="00815EC9">
          <w:rPr>
            <w:rFonts w:eastAsia="Calibri" w:cs="Arial"/>
            <w:color w:val="0000FF"/>
            <w:sz w:val="24"/>
            <w:szCs w:val="24"/>
            <w:u w:val="single"/>
            <w:lang w:val="x-none" w:eastAsia="en-US"/>
          </w:rPr>
          <w:t>uk/govern</w:t>
        </w:r>
        <w:r w:rsidRPr="00815EC9">
          <w:rPr>
            <w:rFonts w:eastAsia="Calibri" w:cs="Arial"/>
            <w:color w:val="0000FF"/>
            <w:sz w:val="24"/>
            <w:szCs w:val="24"/>
            <w:u w:val="single"/>
            <w:lang w:val="x-none" w:eastAsia="en-US"/>
          </w:rPr>
          <w:t>m</w:t>
        </w:r>
        <w:r w:rsidRPr="00815EC9">
          <w:rPr>
            <w:rFonts w:eastAsia="Calibri" w:cs="Arial"/>
            <w:color w:val="0000FF"/>
            <w:sz w:val="24"/>
            <w:szCs w:val="24"/>
            <w:u w:val="single"/>
            <w:lang w:val="x-none" w:eastAsia="en-US"/>
          </w:rPr>
          <w:t>ent/uploads/system/uploads/attachment_data/file/541186/2905559_Green_Book_Chapter_22.pdf</w:t>
        </w:r>
      </w:hyperlink>
      <w:r w:rsidRPr="00815EC9">
        <w:rPr>
          <w:rFonts w:eastAsia="Calibri" w:cs="Arial"/>
          <w:sz w:val="24"/>
          <w:szCs w:val="24"/>
          <w:lang w:val="x-none" w:eastAsia="en-US"/>
        </w:rPr>
        <w:t xml:space="preserve"> </w:t>
      </w:r>
    </w:p>
    <w:p w:rsidR="00815EC9" w:rsidRPr="00815EC9" w:rsidRDefault="00815EC9" w:rsidP="00815EC9">
      <w:pPr>
        <w:spacing w:line="240" w:lineRule="auto"/>
        <w:ind w:left="720"/>
        <w:contextualSpacing/>
        <w:rPr>
          <w:rFonts w:eastAsia="Calibri" w:cs="Arial"/>
          <w:sz w:val="24"/>
          <w:szCs w:val="24"/>
          <w:lang w:eastAsia="en-US"/>
        </w:rPr>
      </w:pPr>
    </w:p>
    <w:p w:rsidR="00815EC9" w:rsidRPr="00815EC9" w:rsidRDefault="00815EC9" w:rsidP="00815EC9">
      <w:pPr>
        <w:numPr>
          <w:ilvl w:val="0"/>
          <w:numId w:val="8"/>
        </w:numPr>
        <w:spacing w:line="240" w:lineRule="auto"/>
        <w:jc w:val="both"/>
        <w:rPr>
          <w:rFonts w:eastAsia="Calibri" w:cs="Arial"/>
          <w:sz w:val="24"/>
          <w:szCs w:val="24"/>
          <w:lang w:val="x-none" w:eastAsia="en-US"/>
        </w:rPr>
      </w:pPr>
      <w:r w:rsidRPr="00815EC9">
        <w:rPr>
          <w:rFonts w:eastAsia="Calibri" w:cs="Arial"/>
          <w:sz w:val="24"/>
          <w:szCs w:val="24"/>
          <w:lang w:val="x-none" w:eastAsia="en-US"/>
        </w:rPr>
        <w:t xml:space="preserve">Department of Health Green Book Immunisation against Infectious Disease Chapter 25, </w:t>
      </w:r>
      <w:r w:rsidRPr="00815EC9">
        <w:rPr>
          <w:rFonts w:eastAsia="Calibri" w:cs="Arial"/>
          <w:i/>
          <w:sz w:val="24"/>
          <w:szCs w:val="24"/>
          <w:lang w:val="x-none" w:eastAsia="en-US"/>
        </w:rPr>
        <w:t>Pneumococcal</w:t>
      </w:r>
      <w:r w:rsidRPr="00815EC9">
        <w:rPr>
          <w:rFonts w:eastAsia="Calibri" w:cs="Arial"/>
          <w:sz w:val="24"/>
          <w:szCs w:val="24"/>
          <w:lang w:val="x-none" w:eastAsia="en-US"/>
        </w:rPr>
        <w:t xml:space="preserve">, updated December 2013. Available at </w:t>
      </w:r>
      <w:hyperlink r:id="rId17" w:history="1">
        <w:r w:rsidRPr="00815EC9">
          <w:rPr>
            <w:rFonts w:eastAsia="Calibri" w:cs="Arial"/>
            <w:color w:val="0000FF"/>
            <w:sz w:val="24"/>
            <w:szCs w:val="24"/>
            <w:u w:val="single"/>
            <w:lang w:val="x-none" w:eastAsia="en-US"/>
          </w:rPr>
          <w:t>https://www.gov</w:t>
        </w:r>
        <w:r w:rsidRPr="00815EC9">
          <w:rPr>
            <w:rFonts w:eastAsia="Calibri" w:cs="Arial"/>
            <w:color w:val="0000FF"/>
            <w:sz w:val="24"/>
            <w:szCs w:val="24"/>
            <w:u w:val="single"/>
            <w:lang w:val="x-none" w:eastAsia="en-US"/>
          </w:rPr>
          <w:t>.</w:t>
        </w:r>
        <w:r w:rsidRPr="00815EC9">
          <w:rPr>
            <w:rFonts w:eastAsia="Calibri" w:cs="Arial"/>
            <w:color w:val="0000FF"/>
            <w:sz w:val="24"/>
            <w:szCs w:val="24"/>
            <w:u w:val="single"/>
            <w:lang w:val="x-none" w:eastAsia="en-US"/>
          </w:rPr>
          <w:t>uk/government/uploads/system/uploads/attachment_data/file/263318/Green-Book-Chapter-25-v5</w:t>
        </w:r>
        <w:r w:rsidRPr="00815EC9">
          <w:rPr>
            <w:rFonts w:eastAsia="Calibri" w:cs="Arial"/>
            <w:color w:val="0000FF"/>
            <w:sz w:val="24"/>
            <w:szCs w:val="24"/>
            <w:u w:val="single"/>
            <w:lang w:val="x-none" w:eastAsia="en-US"/>
          </w:rPr>
          <w:t>_</w:t>
        </w:r>
        <w:r w:rsidRPr="00815EC9">
          <w:rPr>
            <w:rFonts w:eastAsia="Calibri" w:cs="Arial"/>
            <w:color w:val="0000FF"/>
            <w:sz w:val="24"/>
            <w:szCs w:val="24"/>
            <w:u w:val="single"/>
            <w:lang w:val="x-none" w:eastAsia="en-US"/>
          </w:rPr>
          <w:t>2.pdf</w:t>
        </w:r>
      </w:hyperlink>
    </w:p>
    <w:p w:rsidR="00815EC9" w:rsidRPr="00815EC9" w:rsidRDefault="00815EC9" w:rsidP="00815EC9">
      <w:pPr>
        <w:spacing w:line="240" w:lineRule="auto"/>
        <w:rPr>
          <w:rFonts w:cs="Arial"/>
          <w:sz w:val="24"/>
          <w:szCs w:val="24"/>
          <w:lang w:eastAsia="en-US"/>
        </w:rPr>
      </w:pPr>
    </w:p>
    <w:p w:rsidR="00815EC9" w:rsidRPr="00815EC9" w:rsidRDefault="00815EC9" w:rsidP="00815EC9">
      <w:pPr>
        <w:numPr>
          <w:ilvl w:val="0"/>
          <w:numId w:val="8"/>
        </w:numPr>
        <w:spacing w:line="240" w:lineRule="auto"/>
        <w:jc w:val="both"/>
        <w:rPr>
          <w:rFonts w:cs="Arial"/>
          <w:sz w:val="24"/>
          <w:szCs w:val="24"/>
          <w:lang w:eastAsia="en-US"/>
        </w:rPr>
      </w:pPr>
      <w:r w:rsidRPr="00815EC9">
        <w:rPr>
          <w:rFonts w:cs="Arial"/>
          <w:sz w:val="24"/>
          <w:szCs w:val="24"/>
          <w:lang w:eastAsia="en-US"/>
        </w:rPr>
        <w:t xml:space="preserve">Department of Health Green Book Immunisation against Infectious Disease Chapter 28a, </w:t>
      </w:r>
      <w:r w:rsidRPr="00815EC9">
        <w:rPr>
          <w:rFonts w:cs="Arial"/>
          <w:i/>
          <w:sz w:val="24"/>
          <w:szCs w:val="24"/>
          <w:lang w:eastAsia="en-US"/>
        </w:rPr>
        <w:t>Shingles (herpes zoster)</w:t>
      </w:r>
      <w:r w:rsidRPr="00815EC9">
        <w:rPr>
          <w:rFonts w:cs="Arial"/>
          <w:sz w:val="24"/>
          <w:szCs w:val="24"/>
          <w:lang w:eastAsia="en-US"/>
        </w:rPr>
        <w:t xml:space="preserve">, updated February 2016. Available at </w:t>
      </w:r>
      <w:hyperlink r:id="rId18" w:history="1">
        <w:r w:rsidRPr="00815EC9">
          <w:rPr>
            <w:rFonts w:cs="Arial"/>
            <w:color w:val="0000FF"/>
            <w:sz w:val="24"/>
            <w:szCs w:val="24"/>
            <w:u w:val="single"/>
            <w:lang w:eastAsia="en-US"/>
          </w:rPr>
          <w:t>https://www.gov.uk/government/uploads/system/uploads/attachment_data/file/503773/2905109_Green_Book_Chapter_28a_v3_0W.PDF</w:t>
        </w:r>
      </w:hyperlink>
      <w:r w:rsidRPr="00815EC9">
        <w:rPr>
          <w:rFonts w:cs="Arial"/>
          <w:sz w:val="24"/>
          <w:szCs w:val="24"/>
          <w:lang w:eastAsia="en-US"/>
        </w:rPr>
        <w:t xml:space="preserve"> (accessed 11 August 2016)</w:t>
      </w:r>
    </w:p>
    <w:p w:rsidR="00815EC9" w:rsidRPr="00815EC9" w:rsidRDefault="00815EC9" w:rsidP="00815EC9">
      <w:pPr>
        <w:spacing w:line="240" w:lineRule="auto"/>
        <w:ind w:left="720"/>
        <w:contextualSpacing/>
        <w:rPr>
          <w:rFonts w:eastAsia="Calibri" w:cs="Arial"/>
          <w:sz w:val="24"/>
          <w:szCs w:val="24"/>
          <w:lang w:eastAsia="en-US"/>
        </w:rPr>
      </w:pPr>
    </w:p>
    <w:p w:rsidR="00815EC9" w:rsidRPr="00815EC9" w:rsidRDefault="00815EC9" w:rsidP="00815EC9">
      <w:pPr>
        <w:numPr>
          <w:ilvl w:val="0"/>
          <w:numId w:val="8"/>
        </w:numPr>
        <w:spacing w:line="240" w:lineRule="auto"/>
        <w:jc w:val="both"/>
        <w:rPr>
          <w:rFonts w:cs="Arial"/>
          <w:sz w:val="24"/>
          <w:szCs w:val="24"/>
          <w:lang w:eastAsia="en-US"/>
        </w:rPr>
      </w:pPr>
      <w:r w:rsidRPr="00815EC9">
        <w:rPr>
          <w:rFonts w:cs="Arial"/>
          <w:sz w:val="24"/>
          <w:szCs w:val="24"/>
          <w:lang w:eastAsia="en-US"/>
        </w:rPr>
        <w:t xml:space="preserve">Department of Health Green Book Immunisation against Infectious Disease Chapter 30, </w:t>
      </w:r>
      <w:r w:rsidRPr="00815EC9">
        <w:rPr>
          <w:rFonts w:cs="Arial"/>
          <w:i/>
          <w:sz w:val="24"/>
          <w:szCs w:val="24"/>
          <w:lang w:eastAsia="en-US"/>
        </w:rPr>
        <w:t>Tetanus</w:t>
      </w:r>
      <w:r w:rsidRPr="00815EC9">
        <w:rPr>
          <w:rFonts w:cs="Arial"/>
          <w:sz w:val="24"/>
          <w:szCs w:val="24"/>
          <w:lang w:eastAsia="en-US"/>
        </w:rPr>
        <w:t xml:space="preserve">, updated December 2013. Available at </w:t>
      </w:r>
      <w:hyperlink r:id="rId19" w:history="1">
        <w:r w:rsidRPr="00815EC9">
          <w:rPr>
            <w:rFonts w:cs="Arial"/>
            <w:color w:val="0000FF"/>
            <w:sz w:val="24"/>
            <w:szCs w:val="24"/>
            <w:u w:val="single"/>
            <w:lang w:eastAsia="en-US"/>
          </w:rPr>
          <w:t>https://www.gov.u</w:t>
        </w:r>
        <w:r w:rsidRPr="00815EC9">
          <w:rPr>
            <w:rFonts w:cs="Arial"/>
            <w:color w:val="0000FF"/>
            <w:sz w:val="24"/>
            <w:szCs w:val="24"/>
            <w:u w:val="single"/>
            <w:lang w:eastAsia="en-US"/>
          </w:rPr>
          <w:t>k</w:t>
        </w:r>
        <w:r w:rsidRPr="00815EC9">
          <w:rPr>
            <w:rFonts w:cs="Arial"/>
            <w:color w:val="0000FF"/>
            <w:sz w:val="24"/>
            <w:szCs w:val="24"/>
            <w:u w:val="single"/>
            <w:lang w:eastAsia="en-US"/>
          </w:rPr>
          <w:t>/government/up</w:t>
        </w:r>
        <w:r w:rsidRPr="00815EC9">
          <w:rPr>
            <w:rFonts w:cs="Arial"/>
            <w:color w:val="0000FF"/>
            <w:sz w:val="24"/>
            <w:szCs w:val="24"/>
            <w:u w:val="single"/>
            <w:lang w:eastAsia="en-US"/>
          </w:rPr>
          <w:t>l</w:t>
        </w:r>
        <w:r w:rsidRPr="00815EC9">
          <w:rPr>
            <w:rFonts w:cs="Arial"/>
            <w:color w:val="0000FF"/>
            <w:sz w:val="24"/>
            <w:szCs w:val="24"/>
            <w:u w:val="single"/>
            <w:lang w:eastAsia="en-US"/>
          </w:rPr>
          <w:t>oads/system/uploads/attachment_data/file/148506/Green-Book-Chapter-30-dh_103982.pdf</w:t>
        </w:r>
      </w:hyperlink>
      <w:r w:rsidRPr="00815EC9">
        <w:rPr>
          <w:rFonts w:cs="Arial"/>
          <w:sz w:val="24"/>
          <w:szCs w:val="24"/>
          <w:lang w:eastAsia="en-US"/>
        </w:rPr>
        <w:t xml:space="preserve">, accessed 6 May 2016. </w:t>
      </w:r>
    </w:p>
    <w:p w:rsidR="00815EC9" w:rsidRPr="00815EC9" w:rsidRDefault="00815EC9" w:rsidP="00815EC9">
      <w:pPr>
        <w:spacing w:line="240" w:lineRule="auto"/>
        <w:contextualSpacing/>
        <w:rPr>
          <w:rFonts w:eastAsia="Calibri" w:cs="Arial"/>
          <w:sz w:val="24"/>
          <w:szCs w:val="24"/>
          <w:lang w:eastAsia="en-US"/>
        </w:rPr>
      </w:pPr>
    </w:p>
    <w:p w:rsidR="00815EC9" w:rsidRPr="00815EC9" w:rsidRDefault="00815EC9" w:rsidP="00815EC9">
      <w:pPr>
        <w:numPr>
          <w:ilvl w:val="0"/>
          <w:numId w:val="8"/>
        </w:numPr>
        <w:spacing w:line="240" w:lineRule="auto"/>
        <w:jc w:val="both"/>
        <w:rPr>
          <w:rFonts w:eastAsia="Calibri" w:cs="Arial"/>
          <w:sz w:val="24"/>
          <w:szCs w:val="24"/>
          <w:lang w:val="x-none" w:eastAsia="en-US"/>
        </w:rPr>
      </w:pPr>
      <w:proofErr w:type="spellStart"/>
      <w:r w:rsidRPr="00815EC9">
        <w:rPr>
          <w:rFonts w:eastAsia="Calibri" w:cs="Arial"/>
          <w:sz w:val="24"/>
          <w:szCs w:val="24"/>
          <w:lang w:val="x-none" w:eastAsia="en-US"/>
        </w:rPr>
        <w:t>Itala</w:t>
      </w:r>
      <w:proofErr w:type="spellEnd"/>
      <w:r w:rsidRPr="00815EC9">
        <w:rPr>
          <w:rFonts w:eastAsia="Calibri" w:cs="Arial"/>
          <w:sz w:val="24"/>
          <w:szCs w:val="24"/>
          <w:lang w:val="x-none" w:eastAsia="en-US"/>
        </w:rPr>
        <w:t xml:space="preserve"> M </w:t>
      </w:r>
      <w:r w:rsidRPr="00815EC9">
        <w:rPr>
          <w:rFonts w:eastAsia="Calibri" w:cs="Arial"/>
          <w:i/>
          <w:sz w:val="24"/>
          <w:szCs w:val="24"/>
          <w:lang w:val="x-none" w:eastAsia="en-US"/>
        </w:rPr>
        <w:t>et al.</w:t>
      </w:r>
      <w:r w:rsidRPr="00815EC9">
        <w:rPr>
          <w:rFonts w:eastAsia="Calibri" w:cs="Arial"/>
          <w:sz w:val="24"/>
          <w:szCs w:val="24"/>
          <w:lang w:val="x-none" w:eastAsia="en-US"/>
        </w:rPr>
        <w:t xml:space="preserve"> European Journal of Haematology (1992): 48(5); 266-70</w:t>
      </w:r>
    </w:p>
    <w:p w:rsidR="00815EC9" w:rsidRPr="00815EC9" w:rsidRDefault="00815EC9" w:rsidP="00815EC9">
      <w:pPr>
        <w:spacing w:line="240" w:lineRule="auto"/>
        <w:rPr>
          <w:rFonts w:eastAsia="Calibri" w:cs="Arial"/>
          <w:sz w:val="24"/>
          <w:szCs w:val="24"/>
          <w:lang w:val="x-none" w:eastAsia="en-US"/>
        </w:rPr>
      </w:pPr>
    </w:p>
    <w:p w:rsidR="00815EC9" w:rsidRPr="00815EC9" w:rsidRDefault="00815EC9" w:rsidP="00815EC9">
      <w:pPr>
        <w:numPr>
          <w:ilvl w:val="0"/>
          <w:numId w:val="8"/>
        </w:numPr>
        <w:spacing w:line="240" w:lineRule="auto"/>
        <w:jc w:val="both"/>
        <w:rPr>
          <w:rFonts w:eastAsia="Calibri" w:cs="Arial"/>
          <w:sz w:val="24"/>
          <w:szCs w:val="24"/>
          <w:lang w:val="x-none" w:eastAsia="en-US"/>
        </w:rPr>
      </w:pPr>
      <w:r w:rsidRPr="00815EC9">
        <w:rPr>
          <w:rFonts w:eastAsia="Calibri" w:cs="Arial"/>
          <w:sz w:val="24"/>
          <w:szCs w:val="24"/>
          <w:lang w:val="x-none" w:eastAsia="en-US"/>
        </w:rPr>
        <w:t xml:space="preserve">Bennett NM </w:t>
      </w:r>
      <w:r w:rsidRPr="00815EC9">
        <w:rPr>
          <w:rFonts w:eastAsia="Calibri" w:cs="Arial"/>
          <w:i/>
          <w:sz w:val="24"/>
          <w:szCs w:val="24"/>
          <w:lang w:val="x-none" w:eastAsia="en-US"/>
        </w:rPr>
        <w:t xml:space="preserve">et al. </w:t>
      </w:r>
      <w:r w:rsidRPr="00815EC9">
        <w:rPr>
          <w:rFonts w:eastAsia="Calibri" w:cs="Arial"/>
          <w:sz w:val="24"/>
          <w:szCs w:val="24"/>
          <w:lang w:val="x-none" w:eastAsia="en-US"/>
        </w:rPr>
        <w:t xml:space="preserve">MMWR </w:t>
      </w:r>
      <w:proofErr w:type="spellStart"/>
      <w:r w:rsidRPr="00815EC9">
        <w:rPr>
          <w:rFonts w:eastAsia="Calibri" w:cs="Arial"/>
          <w:sz w:val="24"/>
          <w:szCs w:val="24"/>
          <w:lang w:val="x-none" w:eastAsia="en-US"/>
        </w:rPr>
        <w:t>Morb</w:t>
      </w:r>
      <w:proofErr w:type="spellEnd"/>
      <w:r w:rsidRPr="00815EC9">
        <w:rPr>
          <w:rFonts w:eastAsia="Calibri" w:cs="Arial"/>
          <w:sz w:val="24"/>
          <w:szCs w:val="24"/>
          <w:lang w:val="x-none" w:eastAsia="en-US"/>
        </w:rPr>
        <w:t xml:space="preserve"> Mortal </w:t>
      </w:r>
      <w:proofErr w:type="spellStart"/>
      <w:r w:rsidRPr="00815EC9">
        <w:rPr>
          <w:rFonts w:eastAsia="Calibri" w:cs="Arial"/>
          <w:sz w:val="24"/>
          <w:szCs w:val="24"/>
          <w:lang w:val="x-none" w:eastAsia="en-US"/>
        </w:rPr>
        <w:t>Wkly</w:t>
      </w:r>
      <w:proofErr w:type="spellEnd"/>
      <w:r w:rsidRPr="00815EC9">
        <w:rPr>
          <w:rFonts w:eastAsia="Calibri" w:cs="Arial"/>
          <w:sz w:val="24"/>
          <w:szCs w:val="24"/>
          <w:lang w:val="x-none" w:eastAsia="en-US"/>
        </w:rPr>
        <w:t xml:space="preserve"> Rep. 2012;61(40):816-9 </w:t>
      </w:r>
      <w:hyperlink r:id="rId20" w:history="1">
        <w:r w:rsidRPr="00815EC9">
          <w:rPr>
            <w:rFonts w:eastAsia="Calibri" w:cs="Arial"/>
            <w:color w:val="0000FF"/>
            <w:sz w:val="24"/>
            <w:szCs w:val="24"/>
            <w:u w:val="single"/>
            <w:lang w:val="x-none" w:eastAsia="en-US"/>
          </w:rPr>
          <w:t>http://www.cdc.gov/m</w:t>
        </w:r>
        <w:r w:rsidRPr="00815EC9">
          <w:rPr>
            <w:rFonts w:eastAsia="Calibri" w:cs="Arial"/>
            <w:color w:val="0000FF"/>
            <w:sz w:val="24"/>
            <w:szCs w:val="24"/>
            <w:u w:val="single"/>
            <w:lang w:val="x-none" w:eastAsia="en-US"/>
          </w:rPr>
          <w:t>m</w:t>
        </w:r>
        <w:r w:rsidRPr="00815EC9">
          <w:rPr>
            <w:rFonts w:eastAsia="Calibri" w:cs="Arial"/>
            <w:color w:val="0000FF"/>
            <w:sz w:val="24"/>
            <w:szCs w:val="24"/>
            <w:u w:val="single"/>
            <w:lang w:val="x-none" w:eastAsia="en-US"/>
          </w:rPr>
          <w:t>wr/pdf/wk/mm6140.pdf</w:t>
        </w:r>
      </w:hyperlink>
      <w:r w:rsidRPr="00815EC9">
        <w:rPr>
          <w:rFonts w:eastAsia="Calibri" w:cs="Arial"/>
          <w:sz w:val="24"/>
          <w:szCs w:val="24"/>
          <w:lang w:val="x-none" w:eastAsia="en-US"/>
        </w:rPr>
        <w:t xml:space="preserve"> Accessed 6 May 2016</w:t>
      </w:r>
    </w:p>
    <w:p w:rsidR="00815EC9" w:rsidRPr="00815EC9" w:rsidRDefault="00815EC9" w:rsidP="00815EC9">
      <w:pPr>
        <w:spacing w:line="240" w:lineRule="auto"/>
        <w:rPr>
          <w:rFonts w:eastAsia="Calibri" w:cs="Arial"/>
          <w:sz w:val="24"/>
          <w:szCs w:val="24"/>
          <w:lang w:val="x-none" w:eastAsia="en-US"/>
        </w:rPr>
      </w:pPr>
    </w:p>
    <w:p w:rsidR="00815EC9" w:rsidRPr="00815EC9" w:rsidRDefault="00815EC9" w:rsidP="00815EC9">
      <w:pPr>
        <w:numPr>
          <w:ilvl w:val="0"/>
          <w:numId w:val="8"/>
        </w:numPr>
        <w:spacing w:line="240" w:lineRule="auto"/>
        <w:jc w:val="both"/>
        <w:rPr>
          <w:rFonts w:eastAsia="Calibri" w:cs="Arial"/>
          <w:sz w:val="24"/>
          <w:szCs w:val="24"/>
          <w:lang w:val="x-none" w:eastAsia="en-US"/>
        </w:rPr>
      </w:pPr>
      <w:r w:rsidRPr="00815EC9">
        <w:rPr>
          <w:rFonts w:eastAsia="Calibri" w:cs="Arial"/>
          <w:sz w:val="24"/>
          <w:szCs w:val="24"/>
          <w:lang w:val="x-none" w:eastAsia="en-US"/>
        </w:rPr>
        <w:t xml:space="preserve">Moreira J </w:t>
      </w:r>
      <w:r w:rsidRPr="00815EC9">
        <w:rPr>
          <w:rFonts w:eastAsia="Calibri" w:cs="Arial"/>
          <w:i/>
          <w:sz w:val="24"/>
          <w:szCs w:val="24"/>
          <w:lang w:val="x-none" w:eastAsia="en-US"/>
        </w:rPr>
        <w:t xml:space="preserve">et al. </w:t>
      </w:r>
      <w:proofErr w:type="spellStart"/>
      <w:r w:rsidRPr="00815EC9">
        <w:rPr>
          <w:rFonts w:eastAsia="Calibri" w:cs="Arial"/>
          <w:sz w:val="24"/>
          <w:szCs w:val="24"/>
          <w:lang w:val="x-none" w:eastAsia="en-US"/>
        </w:rPr>
        <w:t>Leukemia</w:t>
      </w:r>
      <w:proofErr w:type="spellEnd"/>
      <w:r w:rsidRPr="00815EC9">
        <w:rPr>
          <w:rFonts w:eastAsia="Calibri" w:cs="Arial"/>
          <w:sz w:val="24"/>
          <w:szCs w:val="24"/>
          <w:lang w:val="x-none" w:eastAsia="en-US"/>
        </w:rPr>
        <w:t xml:space="preserve"> (2013) 27, 136–141 </w:t>
      </w:r>
      <w:hyperlink r:id="rId21" w:history="1">
        <w:r w:rsidRPr="00815EC9">
          <w:rPr>
            <w:rFonts w:eastAsia="Calibri" w:cs="Arial"/>
            <w:color w:val="0000FF"/>
            <w:sz w:val="24"/>
            <w:szCs w:val="24"/>
            <w:u w:val="single"/>
            <w:lang w:val="x-none" w:eastAsia="en-US"/>
          </w:rPr>
          <w:t>http://0-www.nature.com.w</w:t>
        </w:r>
        <w:r w:rsidRPr="00815EC9">
          <w:rPr>
            <w:rFonts w:eastAsia="Calibri" w:cs="Arial"/>
            <w:color w:val="0000FF"/>
            <w:sz w:val="24"/>
            <w:szCs w:val="24"/>
            <w:u w:val="single"/>
            <w:lang w:val="x-none" w:eastAsia="en-US"/>
          </w:rPr>
          <w:t>a</w:t>
        </w:r>
        <w:r w:rsidRPr="00815EC9">
          <w:rPr>
            <w:rFonts w:eastAsia="Calibri" w:cs="Arial"/>
            <w:color w:val="0000FF"/>
            <w:sz w:val="24"/>
            <w:szCs w:val="24"/>
            <w:u w:val="single"/>
            <w:lang w:val="x-none" w:eastAsia="en-US"/>
          </w:rPr>
          <w:t>m.leeds.ac.uk/leu/journal/v27/n1/full/leu2012187a.html</w:t>
        </w:r>
      </w:hyperlink>
      <w:r w:rsidRPr="00815EC9">
        <w:rPr>
          <w:rFonts w:eastAsia="Calibri" w:cs="Arial"/>
          <w:sz w:val="24"/>
          <w:szCs w:val="24"/>
          <w:lang w:val="x-none" w:eastAsia="en-US"/>
        </w:rPr>
        <w:t xml:space="preserve">  (accessed via Leeds University Library 6 May 2016)</w:t>
      </w:r>
    </w:p>
    <w:p w:rsidR="00815EC9" w:rsidRPr="00815EC9" w:rsidRDefault="00815EC9" w:rsidP="00815EC9">
      <w:pPr>
        <w:spacing w:line="240" w:lineRule="auto"/>
        <w:rPr>
          <w:rFonts w:eastAsia="Calibri" w:cs="Arial"/>
          <w:sz w:val="24"/>
          <w:szCs w:val="24"/>
          <w:lang w:val="x-none" w:eastAsia="en-US"/>
        </w:rPr>
      </w:pPr>
    </w:p>
    <w:p w:rsidR="00815EC9" w:rsidRPr="00815EC9" w:rsidRDefault="00815EC9" w:rsidP="00815EC9">
      <w:pPr>
        <w:numPr>
          <w:ilvl w:val="0"/>
          <w:numId w:val="8"/>
        </w:numPr>
        <w:spacing w:line="240" w:lineRule="auto"/>
        <w:jc w:val="both"/>
        <w:rPr>
          <w:rFonts w:eastAsia="Calibri" w:cs="Arial"/>
          <w:sz w:val="24"/>
          <w:szCs w:val="24"/>
          <w:lang w:val="x-none" w:eastAsia="en-US"/>
        </w:rPr>
      </w:pPr>
      <w:proofErr w:type="spellStart"/>
      <w:r w:rsidRPr="00815EC9">
        <w:rPr>
          <w:rFonts w:eastAsia="Calibri" w:cs="Arial"/>
          <w:sz w:val="24"/>
          <w:szCs w:val="24"/>
          <w:lang w:val="x-none" w:eastAsia="en-US"/>
        </w:rPr>
        <w:t>Oscier</w:t>
      </w:r>
      <w:proofErr w:type="spellEnd"/>
      <w:r w:rsidRPr="00815EC9">
        <w:rPr>
          <w:rFonts w:eastAsia="Calibri" w:cs="Arial"/>
          <w:sz w:val="24"/>
          <w:szCs w:val="24"/>
          <w:lang w:val="x-none" w:eastAsia="en-US"/>
        </w:rPr>
        <w:t xml:space="preserve"> D </w:t>
      </w:r>
      <w:r w:rsidRPr="00815EC9">
        <w:rPr>
          <w:rFonts w:eastAsia="Calibri" w:cs="Arial"/>
          <w:i/>
          <w:sz w:val="24"/>
          <w:szCs w:val="24"/>
          <w:lang w:val="x-none" w:eastAsia="en-US"/>
        </w:rPr>
        <w:t xml:space="preserve">et </w:t>
      </w:r>
      <w:proofErr w:type="spellStart"/>
      <w:r w:rsidRPr="00815EC9">
        <w:rPr>
          <w:rFonts w:eastAsia="Calibri" w:cs="Arial"/>
          <w:i/>
          <w:sz w:val="24"/>
          <w:szCs w:val="24"/>
          <w:lang w:val="x-none" w:eastAsia="en-US"/>
        </w:rPr>
        <w:t>a.l</w:t>
      </w:r>
      <w:proofErr w:type="spellEnd"/>
      <w:r w:rsidRPr="00815EC9">
        <w:rPr>
          <w:rFonts w:eastAsia="Calibri" w:cs="Arial"/>
          <w:i/>
          <w:sz w:val="24"/>
          <w:szCs w:val="24"/>
          <w:lang w:val="x-none" w:eastAsia="en-US"/>
        </w:rPr>
        <w:t xml:space="preserve"> </w:t>
      </w:r>
      <w:r w:rsidRPr="00815EC9">
        <w:rPr>
          <w:rFonts w:eastAsia="Calibri" w:cs="Arial"/>
          <w:sz w:val="24"/>
          <w:szCs w:val="24"/>
          <w:lang w:val="x-none" w:eastAsia="en-US"/>
        </w:rPr>
        <w:t xml:space="preserve">British Journal of Haematology (2012): 159(5); 541–564 </w:t>
      </w:r>
      <w:hyperlink r:id="rId22" w:history="1">
        <w:r w:rsidRPr="00815EC9">
          <w:rPr>
            <w:rFonts w:eastAsia="Calibri" w:cs="Arial"/>
            <w:color w:val="0000FF"/>
            <w:sz w:val="24"/>
            <w:szCs w:val="24"/>
            <w:u w:val="single"/>
            <w:lang w:val="x-none" w:eastAsia="en-US"/>
          </w:rPr>
          <w:t>http://onlinelibrary.wi</w:t>
        </w:r>
        <w:r w:rsidRPr="00815EC9">
          <w:rPr>
            <w:rFonts w:eastAsia="Calibri" w:cs="Arial"/>
            <w:color w:val="0000FF"/>
            <w:sz w:val="24"/>
            <w:szCs w:val="24"/>
            <w:u w:val="single"/>
            <w:lang w:val="x-none" w:eastAsia="en-US"/>
          </w:rPr>
          <w:t>l</w:t>
        </w:r>
        <w:r w:rsidRPr="00815EC9">
          <w:rPr>
            <w:rFonts w:eastAsia="Calibri" w:cs="Arial"/>
            <w:color w:val="0000FF"/>
            <w:sz w:val="24"/>
            <w:szCs w:val="24"/>
            <w:u w:val="single"/>
            <w:lang w:val="x-none" w:eastAsia="en-US"/>
          </w:rPr>
          <w:t>ey.co</w:t>
        </w:r>
        <w:r w:rsidRPr="00815EC9">
          <w:rPr>
            <w:rFonts w:eastAsia="Calibri" w:cs="Arial"/>
            <w:color w:val="0000FF"/>
            <w:sz w:val="24"/>
            <w:szCs w:val="24"/>
            <w:u w:val="single"/>
            <w:lang w:val="x-none" w:eastAsia="en-US"/>
          </w:rPr>
          <w:t>m</w:t>
        </w:r>
        <w:r w:rsidRPr="00815EC9">
          <w:rPr>
            <w:rFonts w:eastAsia="Calibri" w:cs="Arial"/>
            <w:color w:val="0000FF"/>
            <w:sz w:val="24"/>
            <w:szCs w:val="24"/>
            <w:u w:val="single"/>
            <w:lang w:val="x-none" w:eastAsia="en-US"/>
          </w:rPr>
          <w:t>/doi/10.1111/bjh.12067/pdf</w:t>
        </w:r>
      </w:hyperlink>
      <w:r w:rsidRPr="00815EC9">
        <w:rPr>
          <w:rFonts w:eastAsia="Calibri" w:cs="Arial"/>
          <w:sz w:val="24"/>
          <w:szCs w:val="24"/>
          <w:lang w:val="x-none" w:eastAsia="en-US"/>
        </w:rPr>
        <w:t xml:space="preserve"> (accessed 15/4/16)</w:t>
      </w:r>
    </w:p>
    <w:p w:rsidR="00815EC9" w:rsidRPr="00815EC9" w:rsidRDefault="00815EC9" w:rsidP="00815EC9">
      <w:pPr>
        <w:spacing w:line="240" w:lineRule="auto"/>
        <w:rPr>
          <w:rFonts w:eastAsia="Calibri" w:cs="Arial"/>
          <w:sz w:val="24"/>
          <w:szCs w:val="24"/>
          <w:lang w:val="x-none" w:eastAsia="en-US"/>
        </w:rPr>
      </w:pPr>
    </w:p>
    <w:p w:rsidR="00815EC9" w:rsidRPr="00815EC9" w:rsidRDefault="00815EC9" w:rsidP="00815EC9">
      <w:pPr>
        <w:numPr>
          <w:ilvl w:val="0"/>
          <w:numId w:val="8"/>
        </w:numPr>
        <w:spacing w:line="240" w:lineRule="auto"/>
        <w:jc w:val="both"/>
        <w:rPr>
          <w:rFonts w:eastAsia="Calibri" w:cs="Arial"/>
          <w:sz w:val="24"/>
          <w:szCs w:val="24"/>
          <w:lang w:val="x-none" w:eastAsia="en-US"/>
        </w:rPr>
      </w:pPr>
      <w:r w:rsidRPr="00815EC9">
        <w:rPr>
          <w:rFonts w:eastAsia="Calibri" w:cs="Arial"/>
          <w:sz w:val="24"/>
          <w:szCs w:val="24"/>
          <w:lang w:val="x-none" w:eastAsia="en-US"/>
        </w:rPr>
        <w:t xml:space="preserve">Rubin LG </w:t>
      </w:r>
      <w:r w:rsidRPr="00815EC9">
        <w:rPr>
          <w:rFonts w:eastAsia="Calibri" w:cs="Arial"/>
          <w:i/>
          <w:sz w:val="24"/>
          <w:szCs w:val="24"/>
          <w:lang w:val="x-none" w:eastAsia="en-US"/>
        </w:rPr>
        <w:t xml:space="preserve">et al. </w:t>
      </w:r>
      <w:r w:rsidRPr="00815EC9">
        <w:rPr>
          <w:rFonts w:eastAsia="Calibri" w:cs="Arial"/>
          <w:sz w:val="24"/>
          <w:szCs w:val="24"/>
          <w:lang w:val="x-none" w:eastAsia="en-US"/>
        </w:rPr>
        <w:t xml:space="preserve">Clinical Infectious Diseases (2013)  </w:t>
      </w:r>
      <w:hyperlink r:id="rId23" w:history="1">
        <w:r w:rsidRPr="00815EC9">
          <w:rPr>
            <w:rFonts w:eastAsia="Calibri" w:cs="Arial"/>
            <w:color w:val="0000FF"/>
            <w:sz w:val="24"/>
            <w:szCs w:val="24"/>
            <w:u w:val="single"/>
            <w:lang w:val="x-none" w:eastAsia="en-US"/>
          </w:rPr>
          <w:t>http://cid.oxfordjour</w:t>
        </w:r>
        <w:r w:rsidRPr="00815EC9">
          <w:rPr>
            <w:rFonts w:eastAsia="Calibri" w:cs="Arial"/>
            <w:color w:val="0000FF"/>
            <w:sz w:val="24"/>
            <w:szCs w:val="24"/>
            <w:u w:val="single"/>
            <w:lang w:val="x-none" w:eastAsia="en-US"/>
          </w:rPr>
          <w:t>n</w:t>
        </w:r>
        <w:r w:rsidRPr="00815EC9">
          <w:rPr>
            <w:rFonts w:eastAsia="Calibri" w:cs="Arial"/>
            <w:color w:val="0000FF"/>
            <w:sz w:val="24"/>
            <w:szCs w:val="24"/>
            <w:u w:val="single"/>
            <w:lang w:val="x-none" w:eastAsia="en-US"/>
          </w:rPr>
          <w:t>als.org/content/early/2013/11/26</w:t>
        </w:r>
        <w:r w:rsidRPr="00815EC9">
          <w:rPr>
            <w:rFonts w:eastAsia="Calibri" w:cs="Arial"/>
            <w:color w:val="0000FF"/>
            <w:sz w:val="24"/>
            <w:szCs w:val="24"/>
            <w:u w:val="single"/>
            <w:lang w:val="x-none" w:eastAsia="en-US"/>
          </w:rPr>
          <w:t>/</w:t>
        </w:r>
        <w:r w:rsidRPr="00815EC9">
          <w:rPr>
            <w:rFonts w:eastAsia="Calibri" w:cs="Arial"/>
            <w:color w:val="0000FF"/>
            <w:sz w:val="24"/>
            <w:szCs w:val="24"/>
            <w:u w:val="single"/>
            <w:lang w:val="x-none" w:eastAsia="en-US"/>
          </w:rPr>
          <w:t>cid.cit684.full.pdf+html</w:t>
        </w:r>
      </w:hyperlink>
      <w:r w:rsidRPr="00815EC9">
        <w:rPr>
          <w:rFonts w:eastAsia="Calibri" w:cs="Arial"/>
          <w:sz w:val="24"/>
          <w:szCs w:val="24"/>
          <w:lang w:val="x-none" w:eastAsia="en-US"/>
        </w:rPr>
        <w:t xml:space="preserve"> (accessed 15/4/16)</w:t>
      </w:r>
    </w:p>
    <w:p w:rsidR="00815EC9" w:rsidRPr="00815EC9" w:rsidRDefault="00815EC9" w:rsidP="00815EC9">
      <w:pPr>
        <w:spacing w:line="240" w:lineRule="auto"/>
        <w:rPr>
          <w:rFonts w:eastAsia="Calibri" w:cs="Arial"/>
          <w:sz w:val="24"/>
          <w:szCs w:val="24"/>
          <w:lang w:val="x-none" w:eastAsia="en-US"/>
        </w:rPr>
      </w:pPr>
    </w:p>
    <w:p w:rsidR="00815EC9" w:rsidRPr="00815EC9" w:rsidRDefault="00815EC9" w:rsidP="00815EC9">
      <w:pPr>
        <w:numPr>
          <w:ilvl w:val="0"/>
          <w:numId w:val="8"/>
        </w:numPr>
        <w:spacing w:line="240" w:lineRule="auto"/>
        <w:jc w:val="both"/>
        <w:rPr>
          <w:rFonts w:eastAsia="Calibri" w:cs="Arial"/>
          <w:sz w:val="24"/>
          <w:szCs w:val="24"/>
          <w:lang w:val="x-none" w:eastAsia="en-US"/>
        </w:rPr>
      </w:pPr>
      <w:proofErr w:type="spellStart"/>
      <w:r w:rsidRPr="00815EC9">
        <w:rPr>
          <w:rFonts w:eastAsia="Calibri" w:cs="Arial"/>
          <w:sz w:val="24"/>
          <w:szCs w:val="24"/>
          <w:lang w:val="x-none" w:eastAsia="en-US"/>
        </w:rPr>
        <w:lastRenderedPageBreak/>
        <w:t>Sinisalo</w:t>
      </w:r>
      <w:proofErr w:type="spellEnd"/>
      <w:r w:rsidRPr="00815EC9">
        <w:rPr>
          <w:rFonts w:eastAsia="Calibri" w:cs="Arial"/>
          <w:sz w:val="24"/>
          <w:szCs w:val="24"/>
          <w:lang w:val="x-none" w:eastAsia="en-US"/>
        </w:rPr>
        <w:t xml:space="preserve"> </w:t>
      </w:r>
      <w:r w:rsidRPr="00815EC9">
        <w:rPr>
          <w:rFonts w:eastAsia="Calibri" w:cs="Arial"/>
          <w:i/>
          <w:sz w:val="24"/>
          <w:szCs w:val="24"/>
          <w:lang w:val="x-none" w:eastAsia="en-US"/>
        </w:rPr>
        <w:t>et al.</w:t>
      </w:r>
      <w:r w:rsidRPr="00815EC9">
        <w:rPr>
          <w:rFonts w:eastAsia="Calibri" w:cs="Arial"/>
          <w:sz w:val="24"/>
          <w:szCs w:val="24"/>
          <w:lang w:val="x-none" w:eastAsia="en-US"/>
        </w:rPr>
        <w:t xml:space="preserve"> </w:t>
      </w:r>
      <w:proofErr w:type="spellStart"/>
      <w:r w:rsidRPr="00815EC9">
        <w:rPr>
          <w:rFonts w:eastAsia="Calibri" w:cs="Arial"/>
          <w:i/>
          <w:sz w:val="24"/>
          <w:szCs w:val="24"/>
          <w:lang w:val="x-none" w:eastAsia="en-US"/>
        </w:rPr>
        <w:t>Leukemia</w:t>
      </w:r>
      <w:proofErr w:type="spellEnd"/>
      <w:r w:rsidRPr="00815EC9">
        <w:rPr>
          <w:rFonts w:eastAsia="Calibri" w:cs="Arial"/>
          <w:i/>
          <w:sz w:val="24"/>
          <w:szCs w:val="24"/>
          <w:lang w:val="x-none" w:eastAsia="en-US"/>
        </w:rPr>
        <w:t xml:space="preserve"> &amp; Lymphoma</w:t>
      </w:r>
      <w:r w:rsidRPr="00815EC9">
        <w:rPr>
          <w:rFonts w:eastAsia="Calibri" w:cs="Arial"/>
          <w:sz w:val="24"/>
          <w:szCs w:val="24"/>
          <w:lang w:val="x-none" w:eastAsia="en-US"/>
        </w:rPr>
        <w:t xml:space="preserve"> (2003); 44 (4); 649–652. Available at </w:t>
      </w:r>
      <w:hyperlink r:id="rId24" w:history="1">
        <w:r w:rsidRPr="00815EC9">
          <w:rPr>
            <w:rFonts w:eastAsia="Calibri" w:cs="Arial"/>
            <w:color w:val="0000FF"/>
            <w:sz w:val="24"/>
            <w:szCs w:val="24"/>
            <w:u w:val="single"/>
            <w:lang w:val="x-none" w:eastAsia="en-US"/>
          </w:rPr>
          <w:t>http://0-www.tandfonline.com.wam.leeds.ac.uk/doi/pdf/10.1080/1042819031000063408</w:t>
        </w:r>
      </w:hyperlink>
      <w:r w:rsidRPr="00815EC9">
        <w:rPr>
          <w:rFonts w:eastAsia="Calibri" w:cs="Arial"/>
          <w:sz w:val="24"/>
          <w:szCs w:val="24"/>
          <w:lang w:val="x-none" w:eastAsia="en-US"/>
        </w:rPr>
        <w:t xml:space="preserve"> (accessed 6 May 2016)</w:t>
      </w:r>
    </w:p>
    <w:p w:rsidR="00815EC9" w:rsidRPr="00815EC9" w:rsidRDefault="00815EC9" w:rsidP="00815EC9">
      <w:pPr>
        <w:spacing w:line="240" w:lineRule="auto"/>
        <w:rPr>
          <w:rFonts w:cs="Arial"/>
          <w:sz w:val="24"/>
          <w:szCs w:val="24"/>
          <w:lang w:eastAsia="en-US"/>
        </w:rPr>
      </w:pPr>
    </w:p>
    <w:p w:rsidR="00815EC9" w:rsidRPr="00815EC9" w:rsidRDefault="00815EC9" w:rsidP="00815EC9">
      <w:pPr>
        <w:numPr>
          <w:ilvl w:val="0"/>
          <w:numId w:val="8"/>
        </w:numPr>
        <w:spacing w:line="240" w:lineRule="auto"/>
        <w:jc w:val="both"/>
        <w:rPr>
          <w:rFonts w:cs="Arial"/>
          <w:sz w:val="24"/>
          <w:szCs w:val="24"/>
          <w:lang w:eastAsia="en-US"/>
        </w:rPr>
      </w:pPr>
      <w:r w:rsidRPr="00815EC9">
        <w:rPr>
          <w:rFonts w:cs="Arial"/>
          <w:sz w:val="24"/>
          <w:szCs w:val="24"/>
          <w:lang w:eastAsia="en-US"/>
        </w:rPr>
        <w:t xml:space="preserve">Whitaker JA </w:t>
      </w:r>
      <w:r w:rsidRPr="00815EC9">
        <w:rPr>
          <w:rFonts w:cs="Arial"/>
          <w:i/>
          <w:sz w:val="24"/>
          <w:szCs w:val="24"/>
          <w:lang w:eastAsia="en-US"/>
        </w:rPr>
        <w:t xml:space="preserve">et al. </w:t>
      </w:r>
      <w:r w:rsidRPr="00815EC9">
        <w:rPr>
          <w:rFonts w:cs="Arial"/>
          <w:sz w:val="24"/>
          <w:szCs w:val="24"/>
          <w:lang w:eastAsia="en-US"/>
        </w:rPr>
        <w:t xml:space="preserve">Clinical Advances in </w:t>
      </w:r>
      <w:proofErr w:type="spellStart"/>
      <w:r w:rsidRPr="00815EC9">
        <w:rPr>
          <w:rFonts w:cs="Arial"/>
          <w:sz w:val="24"/>
          <w:szCs w:val="24"/>
          <w:lang w:eastAsia="en-US"/>
        </w:rPr>
        <w:t>Hematology</w:t>
      </w:r>
      <w:proofErr w:type="spellEnd"/>
      <w:r w:rsidRPr="00815EC9">
        <w:rPr>
          <w:rFonts w:cs="Arial"/>
          <w:sz w:val="24"/>
          <w:szCs w:val="24"/>
          <w:lang w:eastAsia="en-US"/>
        </w:rPr>
        <w:t xml:space="preserve"> &amp; Oncology (2014): 12(7); 440-50. Available at  </w:t>
      </w:r>
      <w:hyperlink r:id="rId25" w:history="1">
        <w:r w:rsidRPr="00815EC9">
          <w:rPr>
            <w:rFonts w:cs="Arial"/>
            <w:color w:val="0000FF"/>
            <w:sz w:val="24"/>
            <w:szCs w:val="24"/>
            <w:u w:val="single"/>
            <w:lang w:eastAsia="en-US"/>
          </w:rPr>
          <w:t>http://www.hematologyandoncology.net/files/2014/07/Whitaker1.pdf</w:t>
        </w:r>
      </w:hyperlink>
      <w:r w:rsidRPr="00815EC9">
        <w:rPr>
          <w:rFonts w:cs="Arial"/>
          <w:sz w:val="24"/>
          <w:szCs w:val="24"/>
          <w:lang w:eastAsia="en-US"/>
        </w:rPr>
        <w:t xml:space="preserve">  (accessed 15 April 2016)</w:t>
      </w:r>
    </w:p>
    <w:p w:rsidR="00815EC9" w:rsidRPr="00815EC9" w:rsidRDefault="00815EC9" w:rsidP="00815EC9">
      <w:pPr>
        <w:spacing w:line="240" w:lineRule="auto"/>
        <w:ind w:left="720"/>
        <w:contextualSpacing/>
        <w:rPr>
          <w:rFonts w:eastAsia="Calibri" w:cs="Arial"/>
          <w:sz w:val="24"/>
          <w:szCs w:val="24"/>
          <w:lang w:eastAsia="en-US"/>
        </w:rPr>
      </w:pPr>
    </w:p>
    <w:p w:rsidR="00815EC9" w:rsidRPr="00815EC9" w:rsidRDefault="00815EC9" w:rsidP="00815EC9">
      <w:pPr>
        <w:numPr>
          <w:ilvl w:val="0"/>
          <w:numId w:val="8"/>
        </w:numPr>
        <w:spacing w:line="240" w:lineRule="auto"/>
        <w:jc w:val="both"/>
        <w:rPr>
          <w:rFonts w:cs="Arial"/>
          <w:sz w:val="24"/>
          <w:szCs w:val="24"/>
          <w:lang w:eastAsia="en-US"/>
        </w:rPr>
      </w:pPr>
      <w:proofErr w:type="spellStart"/>
      <w:r w:rsidRPr="00815EC9">
        <w:rPr>
          <w:rFonts w:cs="Arial"/>
          <w:sz w:val="24"/>
          <w:szCs w:val="24"/>
          <w:lang w:eastAsia="en-US"/>
        </w:rPr>
        <w:t>Zostavax</w:t>
      </w:r>
      <w:proofErr w:type="spellEnd"/>
      <w:r w:rsidRPr="00815EC9">
        <w:rPr>
          <w:rFonts w:cs="Arial"/>
          <w:sz w:val="24"/>
          <w:szCs w:val="24"/>
          <w:lang w:eastAsia="en-US"/>
        </w:rPr>
        <w:t xml:space="preserve"> Summary of Product Characteristics. Available at </w:t>
      </w:r>
      <w:hyperlink r:id="rId26" w:history="1">
        <w:r w:rsidRPr="00815EC9">
          <w:rPr>
            <w:rFonts w:cs="Arial"/>
            <w:color w:val="0000FF"/>
            <w:sz w:val="24"/>
            <w:szCs w:val="24"/>
            <w:u w:val="single"/>
            <w:lang w:eastAsia="en-US"/>
          </w:rPr>
          <w:t>https://www.medicines.org.uk/emc/medicine/25927</w:t>
        </w:r>
      </w:hyperlink>
      <w:r w:rsidRPr="00815EC9">
        <w:rPr>
          <w:rFonts w:cs="Arial"/>
          <w:sz w:val="24"/>
          <w:szCs w:val="24"/>
          <w:lang w:eastAsia="en-US"/>
        </w:rPr>
        <w:t xml:space="preserve">  (accessed 11 August 2016)</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p>
    <w:p w:rsidR="00815EC9" w:rsidRPr="00815EC9" w:rsidRDefault="00815EC9" w:rsidP="00815EC9">
      <w:pPr>
        <w:keepNext/>
        <w:tabs>
          <w:tab w:val="num" w:pos="720"/>
        </w:tabs>
        <w:spacing w:before="240" w:after="60" w:line="240" w:lineRule="auto"/>
        <w:ind w:left="720" w:hanging="720"/>
        <w:outlineLvl w:val="0"/>
        <w:rPr>
          <w:rFonts w:cs="Arial"/>
          <w:b/>
          <w:bCs/>
          <w:caps/>
          <w:kern w:val="32"/>
          <w:sz w:val="28"/>
          <w:szCs w:val="28"/>
          <w:lang w:eastAsia="en-US"/>
        </w:rPr>
      </w:pPr>
      <w:bookmarkStart w:id="26" w:name="_Toc229465326"/>
      <w:bookmarkStart w:id="27" w:name="_Toc232567703"/>
      <w:bookmarkStart w:id="28" w:name="_Toc462228093"/>
      <w:r w:rsidRPr="00815EC9">
        <w:rPr>
          <w:rFonts w:cs="Arial"/>
          <w:b/>
          <w:bCs/>
          <w:caps/>
          <w:kern w:val="32"/>
          <w:sz w:val="28"/>
          <w:szCs w:val="28"/>
          <w:lang w:eastAsia="en-US"/>
        </w:rPr>
        <w:t>Appendices</w:t>
      </w:r>
      <w:bookmarkEnd w:id="26"/>
      <w:bookmarkEnd w:id="27"/>
      <w:bookmarkEnd w:id="28"/>
    </w:p>
    <w:p w:rsidR="00815EC9" w:rsidRPr="00815EC9" w:rsidRDefault="00815EC9" w:rsidP="00815EC9">
      <w:pPr>
        <w:keepNext/>
        <w:numPr>
          <w:ilvl w:val="1"/>
          <w:numId w:val="0"/>
        </w:numPr>
        <w:tabs>
          <w:tab w:val="num" w:pos="720"/>
        </w:tabs>
        <w:spacing w:before="240" w:after="60" w:line="240" w:lineRule="auto"/>
        <w:ind w:left="720" w:hanging="720"/>
        <w:outlineLvl w:val="1"/>
        <w:rPr>
          <w:rFonts w:cs="Arial"/>
          <w:b/>
          <w:bCs/>
          <w:iCs/>
          <w:sz w:val="24"/>
          <w:szCs w:val="28"/>
          <w:lang w:eastAsia="en-US"/>
        </w:rPr>
      </w:pPr>
      <w:bookmarkStart w:id="29" w:name="_Toc229465327"/>
      <w:bookmarkStart w:id="30" w:name="_Toc232567704"/>
      <w:bookmarkStart w:id="31" w:name="_Toc462228094"/>
      <w:r w:rsidRPr="00815EC9">
        <w:rPr>
          <w:rFonts w:cs="Arial"/>
          <w:b/>
          <w:bCs/>
          <w:iCs/>
          <w:sz w:val="24"/>
          <w:szCs w:val="28"/>
          <w:lang w:eastAsia="en-US"/>
        </w:rPr>
        <w:t>Appendix 1: Consultation Summary</w:t>
      </w:r>
      <w:bookmarkEnd w:id="29"/>
      <w:bookmarkEnd w:id="30"/>
      <w:bookmarkEnd w:id="31"/>
    </w:p>
    <w:p w:rsidR="00815EC9" w:rsidRPr="00815EC9" w:rsidRDefault="00815EC9" w:rsidP="00815EC9">
      <w:pPr>
        <w:spacing w:line="240" w:lineRule="auto"/>
        <w:rPr>
          <w:sz w:val="24"/>
          <w:szCs w:val="24"/>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6424"/>
      </w:tblGrid>
      <w:tr w:rsidR="00815EC9" w:rsidRPr="00815EC9" w:rsidTr="00593414">
        <w:tblPrEx>
          <w:tblCellMar>
            <w:top w:w="0" w:type="dxa"/>
            <w:bottom w:w="0" w:type="dxa"/>
          </w:tblCellMar>
        </w:tblPrEx>
        <w:trPr>
          <w:cantSplit/>
          <w:trHeight w:val="320"/>
        </w:trPr>
        <w:tc>
          <w:tcPr>
            <w:tcW w:w="3323" w:type="dxa"/>
            <w:vMerge w:val="restart"/>
            <w:shd w:val="pct5" w:color="000000" w:fill="FFFFFF"/>
          </w:tcPr>
          <w:p w:rsidR="00815EC9" w:rsidRPr="00815EC9" w:rsidRDefault="00815EC9" w:rsidP="00815EC9">
            <w:pPr>
              <w:spacing w:line="240" w:lineRule="auto"/>
              <w:rPr>
                <w:rFonts w:ascii="Times New Roman" w:hAnsi="Times New Roman"/>
                <w:sz w:val="24"/>
                <w:szCs w:val="20"/>
              </w:rPr>
            </w:pPr>
          </w:p>
          <w:p w:rsidR="00815EC9" w:rsidRPr="00815EC9" w:rsidRDefault="00815EC9" w:rsidP="00815EC9">
            <w:pPr>
              <w:spacing w:line="240" w:lineRule="auto"/>
              <w:rPr>
                <w:rFonts w:ascii="Times New Roman" w:hAnsi="Times New Roman"/>
                <w:sz w:val="24"/>
                <w:szCs w:val="20"/>
              </w:rPr>
            </w:pPr>
          </w:p>
          <w:p w:rsidR="00815EC9" w:rsidRPr="00815EC9" w:rsidRDefault="00815EC9" w:rsidP="00815EC9">
            <w:pPr>
              <w:spacing w:line="240" w:lineRule="auto"/>
              <w:rPr>
                <w:b/>
                <w:sz w:val="24"/>
                <w:szCs w:val="24"/>
                <w:lang w:eastAsia="en-US"/>
              </w:rPr>
            </w:pPr>
            <w:r w:rsidRPr="00815EC9">
              <w:rPr>
                <w:b/>
                <w:sz w:val="24"/>
                <w:szCs w:val="24"/>
                <w:lang w:eastAsia="en-US"/>
              </w:rPr>
              <w:t>Those listed opposite have been consulted and any comments/actions incorporated as appropriate.</w:t>
            </w:r>
          </w:p>
          <w:p w:rsidR="00815EC9" w:rsidRPr="00815EC9" w:rsidRDefault="00815EC9" w:rsidP="00815EC9">
            <w:pPr>
              <w:spacing w:line="240" w:lineRule="auto"/>
              <w:rPr>
                <w:sz w:val="24"/>
                <w:szCs w:val="24"/>
                <w:lang w:eastAsia="en-US"/>
              </w:rPr>
            </w:pPr>
          </w:p>
          <w:p w:rsidR="00815EC9" w:rsidRPr="00815EC9" w:rsidRDefault="00815EC9" w:rsidP="00815EC9">
            <w:pPr>
              <w:spacing w:line="240" w:lineRule="auto"/>
              <w:rPr>
                <w:sz w:val="24"/>
                <w:szCs w:val="24"/>
                <w:lang w:eastAsia="en-US"/>
              </w:rPr>
            </w:pPr>
            <w:r w:rsidRPr="00815EC9">
              <w:rPr>
                <w:sz w:val="24"/>
                <w:szCs w:val="24"/>
                <w:lang w:eastAsia="en-US"/>
              </w:rPr>
              <w:t xml:space="preserve">The author must ensure that relevant individuals/groups have been involved in consultation as required prior to this document being submitted for approval. </w:t>
            </w:r>
          </w:p>
        </w:tc>
        <w:tc>
          <w:tcPr>
            <w:tcW w:w="6424" w:type="dxa"/>
            <w:shd w:val="pct5" w:color="000000" w:fill="FFFFFF"/>
          </w:tcPr>
          <w:p w:rsidR="00815EC9" w:rsidRPr="00815EC9" w:rsidRDefault="00815EC9" w:rsidP="00815EC9">
            <w:pPr>
              <w:spacing w:line="240" w:lineRule="auto"/>
              <w:rPr>
                <w:rFonts w:ascii="Times New Roman" w:hAnsi="Times New Roman"/>
                <w:sz w:val="24"/>
                <w:szCs w:val="20"/>
              </w:rPr>
            </w:pPr>
          </w:p>
          <w:p w:rsidR="00815EC9" w:rsidRPr="00815EC9" w:rsidRDefault="00815EC9" w:rsidP="00815EC9">
            <w:pPr>
              <w:spacing w:line="240" w:lineRule="auto"/>
              <w:rPr>
                <w:b/>
                <w:sz w:val="24"/>
                <w:szCs w:val="24"/>
                <w:lang w:eastAsia="en-US"/>
              </w:rPr>
            </w:pPr>
            <w:r w:rsidRPr="00815EC9">
              <w:rPr>
                <w:b/>
                <w:sz w:val="24"/>
                <w:szCs w:val="24"/>
                <w:lang w:eastAsia="en-US"/>
              </w:rPr>
              <w:t>List Groups and/or Individuals Consulted</w:t>
            </w:r>
          </w:p>
        </w:tc>
      </w:tr>
      <w:tr w:rsidR="00815EC9" w:rsidRPr="00815EC9" w:rsidTr="00593414">
        <w:tblPrEx>
          <w:tblCellMar>
            <w:top w:w="0" w:type="dxa"/>
            <w:bottom w:w="0" w:type="dxa"/>
          </w:tblCellMar>
        </w:tblPrEx>
        <w:trPr>
          <w:cantSplit/>
          <w:trHeight w:val="425"/>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r w:rsidRPr="00815EC9">
              <w:rPr>
                <w:rFonts w:ascii="Times New Roman" w:hAnsi="Times New Roman"/>
                <w:b/>
                <w:sz w:val="24"/>
                <w:szCs w:val="24"/>
              </w:rPr>
              <w:t xml:space="preserve">Andy </w:t>
            </w:r>
            <w:proofErr w:type="spellStart"/>
            <w:r w:rsidRPr="00815EC9">
              <w:rPr>
                <w:rFonts w:ascii="Times New Roman" w:hAnsi="Times New Roman"/>
                <w:b/>
                <w:sz w:val="24"/>
                <w:szCs w:val="24"/>
              </w:rPr>
              <w:t>Rawstron</w:t>
            </w:r>
            <w:proofErr w:type="spellEnd"/>
            <w:r w:rsidRPr="00815EC9">
              <w:rPr>
                <w:rFonts w:ascii="Times New Roman" w:hAnsi="Times New Roman"/>
                <w:b/>
                <w:sz w:val="24"/>
                <w:szCs w:val="24"/>
              </w:rPr>
              <w:t>,  Cathy Burton and Victoria Martin, HMDS, Leeds Teaching Hospitals NHS Trust</w:t>
            </w:r>
          </w:p>
        </w:tc>
      </w:tr>
      <w:tr w:rsidR="00815EC9" w:rsidRPr="00815EC9" w:rsidTr="00593414">
        <w:tblPrEx>
          <w:tblCellMar>
            <w:top w:w="0" w:type="dxa"/>
            <w:bottom w:w="0" w:type="dxa"/>
          </w:tblCellMar>
        </w:tblPrEx>
        <w:trPr>
          <w:cantSplit/>
          <w:trHeight w:val="402"/>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r w:rsidRPr="00815EC9">
              <w:rPr>
                <w:rFonts w:ascii="Times New Roman" w:hAnsi="Times New Roman"/>
                <w:b/>
                <w:sz w:val="24"/>
                <w:szCs w:val="24"/>
              </w:rPr>
              <w:t>Claire Hall, Consultant Haematologist, HDFT</w:t>
            </w:r>
          </w:p>
        </w:tc>
      </w:tr>
      <w:tr w:rsidR="00815EC9" w:rsidRPr="00815EC9" w:rsidTr="00593414">
        <w:tblPrEx>
          <w:tblCellMar>
            <w:top w:w="0" w:type="dxa"/>
            <w:bottom w:w="0" w:type="dxa"/>
          </w:tblCellMar>
        </w:tblPrEx>
        <w:trPr>
          <w:cantSplit/>
          <w:trHeight w:val="402"/>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rFonts w:ascii="Times New Roman" w:hAnsi="Times New Roman"/>
                <w:b/>
                <w:sz w:val="24"/>
                <w:szCs w:val="24"/>
              </w:rPr>
            </w:pPr>
            <w:proofErr w:type="spellStart"/>
            <w:r w:rsidRPr="00815EC9">
              <w:rPr>
                <w:rFonts w:ascii="Times New Roman" w:hAnsi="Times New Roman"/>
                <w:b/>
                <w:sz w:val="24"/>
                <w:szCs w:val="24"/>
              </w:rPr>
              <w:t>Gururaj</w:t>
            </w:r>
            <w:proofErr w:type="spellEnd"/>
            <w:r w:rsidRPr="00815EC9">
              <w:rPr>
                <w:rFonts w:ascii="Times New Roman" w:hAnsi="Times New Roman"/>
                <w:b/>
                <w:sz w:val="24"/>
                <w:szCs w:val="24"/>
              </w:rPr>
              <w:t xml:space="preserve"> </w:t>
            </w:r>
            <w:proofErr w:type="spellStart"/>
            <w:r w:rsidRPr="00815EC9">
              <w:rPr>
                <w:rFonts w:ascii="Times New Roman" w:hAnsi="Times New Roman"/>
                <w:b/>
                <w:sz w:val="24"/>
                <w:szCs w:val="24"/>
              </w:rPr>
              <w:t>Arumugakani</w:t>
            </w:r>
            <w:proofErr w:type="spellEnd"/>
            <w:r w:rsidRPr="00815EC9">
              <w:rPr>
                <w:rFonts w:ascii="Times New Roman" w:hAnsi="Times New Roman"/>
                <w:b/>
                <w:sz w:val="24"/>
                <w:szCs w:val="24"/>
              </w:rPr>
              <w:t>, Consultant Immunologist, LTHT</w:t>
            </w:r>
          </w:p>
        </w:tc>
      </w:tr>
      <w:tr w:rsidR="00815EC9" w:rsidRPr="00815EC9" w:rsidTr="00593414">
        <w:tblPrEx>
          <w:tblCellMar>
            <w:top w:w="0" w:type="dxa"/>
            <w:bottom w:w="0" w:type="dxa"/>
          </w:tblCellMar>
        </w:tblPrEx>
        <w:trPr>
          <w:cantSplit/>
          <w:trHeight w:val="424"/>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r w:rsidRPr="00815EC9">
              <w:rPr>
                <w:rFonts w:ascii="Times New Roman" w:hAnsi="Times New Roman"/>
                <w:b/>
                <w:sz w:val="24"/>
                <w:szCs w:val="24"/>
              </w:rPr>
              <w:t>Lesley Wright, Clinical Nurse Specialist, Haematology, HDFT</w:t>
            </w:r>
          </w:p>
        </w:tc>
      </w:tr>
      <w:tr w:rsidR="00815EC9" w:rsidRPr="00815EC9" w:rsidTr="00593414">
        <w:tblPrEx>
          <w:tblCellMar>
            <w:top w:w="0" w:type="dxa"/>
            <w:bottom w:w="0" w:type="dxa"/>
          </w:tblCellMar>
        </w:tblPrEx>
        <w:trPr>
          <w:cantSplit/>
          <w:trHeight w:val="415"/>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proofErr w:type="spellStart"/>
            <w:r w:rsidRPr="00815EC9">
              <w:rPr>
                <w:rFonts w:ascii="Times New Roman" w:hAnsi="Times New Roman"/>
                <w:b/>
                <w:sz w:val="24"/>
                <w:szCs w:val="24"/>
              </w:rPr>
              <w:t>Thalani</w:t>
            </w:r>
            <w:proofErr w:type="spellEnd"/>
            <w:r w:rsidRPr="00815EC9">
              <w:rPr>
                <w:rFonts w:ascii="Times New Roman" w:hAnsi="Times New Roman"/>
                <w:b/>
                <w:sz w:val="24"/>
                <w:szCs w:val="24"/>
              </w:rPr>
              <w:t xml:space="preserve"> </w:t>
            </w:r>
            <w:proofErr w:type="spellStart"/>
            <w:r w:rsidRPr="00815EC9">
              <w:rPr>
                <w:rFonts w:ascii="Times New Roman" w:hAnsi="Times New Roman"/>
                <w:b/>
                <w:sz w:val="24"/>
                <w:szCs w:val="24"/>
              </w:rPr>
              <w:t>Balasubramaniam</w:t>
            </w:r>
            <w:proofErr w:type="spellEnd"/>
            <w:r w:rsidRPr="00815EC9">
              <w:rPr>
                <w:rFonts w:ascii="Times New Roman" w:hAnsi="Times New Roman"/>
                <w:b/>
                <w:sz w:val="24"/>
                <w:szCs w:val="24"/>
              </w:rPr>
              <w:t>, Consultant Haematologist, HDFT</w:t>
            </w:r>
          </w:p>
        </w:tc>
      </w:tr>
      <w:tr w:rsidR="00815EC9" w:rsidRPr="00815EC9" w:rsidTr="00593414">
        <w:tblPrEx>
          <w:tblCellMar>
            <w:top w:w="0" w:type="dxa"/>
            <w:bottom w:w="0" w:type="dxa"/>
          </w:tblCellMar>
        </w:tblPrEx>
        <w:trPr>
          <w:cantSplit/>
          <w:trHeight w:val="421"/>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p>
        </w:tc>
      </w:tr>
      <w:tr w:rsidR="00815EC9" w:rsidRPr="00815EC9" w:rsidTr="00593414">
        <w:tblPrEx>
          <w:tblCellMar>
            <w:top w:w="0" w:type="dxa"/>
            <w:bottom w:w="0" w:type="dxa"/>
          </w:tblCellMar>
        </w:tblPrEx>
        <w:trPr>
          <w:cantSplit/>
          <w:trHeight w:val="412"/>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p>
        </w:tc>
      </w:tr>
      <w:tr w:rsidR="00815EC9" w:rsidRPr="00815EC9" w:rsidTr="00593414">
        <w:tblPrEx>
          <w:tblCellMar>
            <w:top w:w="0" w:type="dxa"/>
            <w:bottom w:w="0" w:type="dxa"/>
          </w:tblCellMar>
        </w:tblPrEx>
        <w:trPr>
          <w:cantSplit/>
          <w:trHeight w:val="412"/>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p>
        </w:tc>
      </w:tr>
      <w:tr w:rsidR="00815EC9" w:rsidRPr="00815EC9" w:rsidTr="00593414">
        <w:tblPrEx>
          <w:tblCellMar>
            <w:top w:w="0" w:type="dxa"/>
            <w:bottom w:w="0" w:type="dxa"/>
          </w:tblCellMar>
        </w:tblPrEx>
        <w:trPr>
          <w:cantSplit/>
          <w:trHeight w:val="412"/>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p>
        </w:tc>
      </w:tr>
      <w:tr w:rsidR="00815EC9" w:rsidRPr="00815EC9" w:rsidTr="00593414">
        <w:tblPrEx>
          <w:tblCellMar>
            <w:top w:w="0" w:type="dxa"/>
            <w:bottom w:w="0" w:type="dxa"/>
          </w:tblCellMar>
        </w:tblPrEx>
        <w:trPr>
          <w:cantSplit/>
          <w:trHeight w:val="412"/>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p>
        </w:tc>
      </w:tr>
      <w:tr w:rsidR="00815EC9" w:rsidRPr="00815EC9" w:rsidTr="00593414">
        <w:tblPrEx>
          <w:tblCellMar>
            <w:top w:w="0" w:type="dxa"/>
            <w:bottom w:w="0" w:type="dxa"/>
          </w:tblCellMar>
        </w:tblPrEx>
        <w:trPr>
          <w:cantSplit/>
          <w:trHeight w:val="412"/>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p>
        </w:tc>
      </w:tr>
      <w:tr w:rsidR="00815EC9" w:rsidRPr="00815EC9" w:rsidTr="00593414">
        <w:tblPrEx>
          <w:tblCellMar>
            <w:top w:w="0" w:type="dxa"/>
            <w:bottom w:w="0" w:type="dxa"/>
          </w:tblCellMar>
        </w:tblPrEx>
        <w:trPr>
          <w:cantSplit/>
          <w:trHeight w:val="412"/>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p>
        </w:tc>
      </w:tr>
      <w:tr w:rsidR="00815EC9" w:rsidRPr="00815EC9" w:rsidTr="00593414">
        <w:tblPrEx>
          <w:tblCellMar>
            <w:top w:w="0" w:type="dxa"/>
            <w:bottom w:w="0" w:type="dxa"/>
          </w:tblCellMar>
        </w:tblPrEx>
        <w:trPr>
          <w:cantSplit/>
          <w:trHeight w:val="412"/>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p>
        </w:tc>
      </w:tr>
      <w:tr w:rsidR="00815EC9" w:rsidRPr="00815EC9" w:rsidTr="00593414">
        <w:tblPrEx>
          <w:tblCellMar>
            <w:top w:w="0" w:type="dxa"/>
            <w:bottom w:w="0" w:type="dxa"/>
          </w:tblCellMar>
        </w:tblPrEx>
        <w:trPr>
          <w:cantSplit/>
          <w:trHeight w:val="412"/>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p>
        </w:tc>
      </w:tr>
      <w:tr w:rsidR="00815EC9" w:rsidRPr="00815EC9" w:rsidTr="00593414">
        <w:tblPrEx>
          <w:tblCellMar>
            <w:top w:w="0" w:type="dxa"/>
            <w:bottom w:w="0" w:type="dxa"/>
          </w:tblCellMar>
        </w:tblPrEx>
        <w:trPr>
          <w:cantSplit/>
          <w:trHeight w:val="412"/>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p>
        </w:tc>
      </w:tr>
      <w:tr w:rsidR="00815EC9" w:rsidRPr="00815EC9" w:rsidTr="00593414">
        <w:tblPrEx>
          <w:tblCellMar>
            <w:top w:w="0" w:type="dxa"/>
            <w:bottom w:w="0" w:type="dxa"/>
          </w:tblCellMar>
        </w:tblPrEx>
        <w:trPr>
          <w:cantSplit/>
          <w:trHeight w:val="412"/>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p>
        </w:tc>
      </w:tr>
      <w:tr w:rsidR="00815EC9" w:rsidRPr="00815EC9" w:rsidTr="00593414">
        <w:tblPrEx>
          <w:tblCellMar>
            <w:top w:w="0" w:type="dxa"/>
            <w:bottom w:w="0" w:type="dxa"/>
          </w:tblCellMar>
        </w:tblPrEx>
        <w:trPr>
          <w:cantSplit/>
          <w:trHeight w:val="412"/>
        </w:trPr>
        <w:tc>
          <w:tcPr>
            <w:tcW w:w="3323" w:type="dxa"/>
            <w:vMerge/>
            <w:shd w:val="pct5" w:color="000000" w:fill="FFFFFF"/>
          </w:tcPr>
          <w:p w:rsidR="00815EC9" w:rsidRPr="00815EC9" w:rsidRDefault="00815EC9" w:rsidP="00815EC9">
            <w:pPr>
              <w:spacing w:line="240" w:lineRule="auto"/>
              <w:rPr>
                <w:rFonts w:ascii="Times New Roman" w:hAnsi="Times New Roman"/>
                <w:sz w:val="24"/>
                <w:szCs w:val="20"/>
              </w:rPr>
            </w:pPr>
          </w:p>
        </w:tc>
        <w:tc>
          <w:tcPr>
            <w:tcW w:w="6424" w:type="dxa"/>
          </w:tcPr>
          <w:p w:rsidR="00815EC9" w:rsidRPr="00815EC9" w:rsidRDefault="00815EC9" w:rsidP="00815EC9">
            <w:pPr>
              <w:spacing w:line="240" w:lineRule="auto"/>
              <w:rPr>
                <w:sz w:val="22"/>
                <w:szCs w:val="20"/>
              </w:rPr>
            </w:pPr>
          </w:p>
        </w:tc>
      </w:tr>
    </w:tbl>
    <w:p w:rsidR="00815EC9" w:rsidRPr="00815EC9" w:rsidRDefault="00815EC9" w:rsidP="00815EC9">
      <w:pPr>
        <w:spacing w:line="240" w:lineRule="auto"/>
        <w:rPr>
          <w:sz w:val="24"/>
          <w:szCs w:val="24"/>
          <w:lang w:eastAsia="en-US"/>
        </w:rPr>
      </w:pPr>
    </w:p>
    <w:p w:rsidR="005E397C" w:rsidRDefault="00815EC9" w:rsidP="00815EC9">
      <w:pPr>
        <w:rPr>
          <w:b/>
        </w:rPr>
      </w:pPr>
      <w:r w:rsidRPr="00815EC9">
        <w:rPr>
          <w:sz w:val="24"/>
          <w:szCs w:val="24"/>
          <w:lang w:eastAsia="en-US"/>
        </w:rPr>
        <w:br w:type="page"/>
      </w:r>
    </w:p>
    <w:p w:rsidR="005E397C" w:rsidRDefault="005E397C" w:rsidP="007079EA">
      <w:pPr>
        <w:rPr>
          <w:b/>
        </w:rPr>
      </w:pPr>
    </w:p>
    <w:p w:rsidR="005E397C" w:rsidRDefault="005E397C" w:rsidP="007079EA">
      <w:pPr>
        <w:rPr>
          <w:b/>
        </w:rPr>
      </w:pPr>
    </w:p>
    <w:p w:rsidR="005E397C" w:rsidRDefault="005E397C" w:rsidP="007079EA">
      <w:pPr>
        <w:rPr>
          <w:b/>
        </w:rPr>
      </w:pPr>
    </w:p>
    <w:p w:rsidR="0009703E" w:rsidRPr="0009703E" w:rsidRDefault="0009703E" w:rsidP="007079EA">
      <w:pPr>
        <w:rPr>
          <w:b/>
        </w:rPr>
      </w:pPr>
    </w:p>
    <w:sectPr w:rsidR="0009703E" w:rsidRPr="0009703E" w:rsidSect="00CE22F2">
      <w:footerReference w:type="default" r:id="rId27"/>
      <w:headerReference w:type="first" r:id="rId28"/>
      <w:footerReference w:type="first" r:id="rId29"/>
      <w:pgSz w:w="11906" w:h="16838" w:code="9"/>
      <w:pgMar w:top="567" w:right="566" w:bottom="1800" w:left="1077" w:header="709" w:footer="4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98" w:rsidRDefault="00E31498">
      <w:pPr>
        <w:spacing w:line="240" w:lineRule="auto"/>
      </w:pPr>
      <w:r>
        <w:separator/>
      </w:r>
    </w:p>
  </w:endnote>
  <w:endnote w:type="continuationSeparator" w:id="0">
    <w:p w:rsidR="00E31498" w:rsidRDefault="00E31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C9" w:rsidRDefault="00815EC9" w:rsidP="00353C15">
    <w:pPr>
      <w:pStyle w:val="Footer"/>
    </w:pPr>
    <w:r w:rsidRPr="005512E7">
      <w:tab/>
    </w:r>
    <w:r w:rsidRPr="005512E7">
      <w:rPr>
        <w:rStyle w:val="PageNumber"/>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60" w:rsidRPr="00654637" w:rsidRDefault="007079EA" w:rsidP="00C64760">
    <w:pPr>
      <w:pStyle w:val="Footer"/>
      <w:rPr>
        <w:sz w:val="18"/>
        <w:szCs w:val="18"/>
      </w:rPr>
    </w:pPr>
    <w:r w:rsidRPr="00654637">
      <w:rPr>
        <w:sz w:val="18"/>
        <w:szCs w:val="18"/>
      </w:rPr>
      <w:t xml:space="preserve">Page </w:t>
    </w:r>
    <w:r w:rsidRPr="00654637">
      <w:rPr>
        <w:sz w:val="18"/>
        <w:szCs w:val="18"/>
      </w:rPr>
      <w:fldChar w:fldCharType="begin"/>
    </w:r>
    <w:r w:rsidRPr="00654637">
      <w:rPr>
        <w:sz w:val="18"/>
        <w:szCs w:val="18"/>
      </w:rPr>
      <w:instrText xml:space="preserve"> PAGE </w:instrText>
    </w:r>
    <w:r w:rsidRPr="00654637">
      <w:rPr>
        <w:sz w:val="18"/>
        <w:szCs w:val="18"/>
      </w:rPr>
      <w:fldChar w:fldCharType="separate"/>
    </w:r>
    <w:r w:rsidR="00815EC9">
      <w:rPr>
        <w:noProof/>
        <w:sz w:val="18"/>
        <w:szCs w:val="18"/>
      </w:rPr>
      <w:t>12</w:t>
    </w:r>
    <w:r w:rsidRPr="00654637">
      <w:rPr>
        <w:sz w:val="18"/>
        <w:szCs w:val="18"/>
      </w:rPr>
      <w:fldChar w:fldCharType="end"/>
    </w:r>
    <w:r w:rsidRPr="00654637">
      <w:rPr>
        <w:sz w:val="18"/>
        <w:szCs w:val="18"/>
      </w:rPr>
      <w:t xml:space="preserve"> of </w:t>
    </w:r>
    <w:r w:rsidRPr="00654637">
      <w:rPr>
        <w:sz w:val="18"/>
        <w:szCs w:val="18"/>
      </w:rPr>
      <w:fldChar w:fldCharType="begin"/>
    </w:r>
    <w:r w:rsidRPr="00654637">
      <w:rPr>
        <w:sz w:val="18"/>
        <w:szCs w:val="18"/>
      </w:rPr>
      <w:instrText xml:space="preserve"> NUMPAGES  </w:instrText>
    </w:r>
    <w:r w:rsidRPr="00654637">
      <w:rPr>
        <w:sz w:val="18"/>
        <w:szCs w:val="18"/>
      </w:rPr>
      <w:fldChar w:fldCharType="separate"/>
    </w:r>
    <w:r w:rsidR="00815EC9">
      <w:rPr>
        <w:noProof/>
        <w:sz w:val="18"/>
        <w:szCs w:val="18"/>
      </w:rPr>
      <w:t>12</w:t>
    </w:r>
    <w:r w:rsidRPr="00654637">
      <w:rPr>
        <w:sz w:val="18"/>
        <w:szCs w:val="18"/>
      </w:rPr>
      <w:fldChar w:fldCharType="end"/>
    </w:r>
  </w:p>
  <w:p w:rsidR="00C64760" w:rsidRDefault="00E314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60" w:rsidRDefault="00E31498" w:rsidP="00C64760">
    <w:pPr>
      <w:jc w:val="right"/>
    </w:pPr>
  </w:p>
  <w:p w:rsidR="00C64760" w:rsidRDefault="00E31498" w:rsidP="00C647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98" w:rsidRDefault="00E31498">
      <w:pPr>
        <w:spacing w:line="240" w:lineRule="auto"/>
      </w:pPr>
      <w:r>
        <w:separator/>
      </w:r>
    </w:p>
  </w:footnote>
  <w:footnote w:type="continuationSeparator" w:id="0">
    <w:p w:rsidR="00E31498" w:rsidRDefault="00E314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C9" w:rsidRPr="00710AD7" w:rsidRDefault="00815EC9" w:rsidP="00710AD7">
    <w:pPr>
      <w:jc w:val="right"/>
      <w:rPr>
        <w:sz w:val="16"/>
        <w:szCs w:val="16"/>
      </w:rPr>
    </w:pPr>
    <w:r>
      <w:tab/>
    </w:r>
    <w:r w:rsidRPr="00710AD7">
      <w:rPr>
        <w:b/>
        <w:sz w:val="16"/>
        <w:szCs w:val="16"/>
        <w:u w:val="single"/>
      </w:rPr>
      <w:t>Vaccinations Recommended for Patients with Chronic Lymphocytic Leukaemia (CLL) and monoclonal B-cell lymphocytosis (MBL)</w:t>
    </w:r>
  </w:p>
  <w:p w:rsidR="00815EC9" w:rsidRPr="005512E7" w:rsidRDefault="00815EC9" w:rsidP="00353C15">
    <w:pPr>
      <w:pStyle w:val="Header"/>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C9" w:rsidRDefault="00815EC9">
    <w:pPr>
      <w:pStyle w:val="Header"/>
    </w:pPr>
    <w:r w:rsidRPr="00D505A3">
      <w:rPr>
        <w:rFonts w:ascii="Times New Roman" w:hAnsi="Times New Roman"/>
        <w:noProof/>
        <w:sz w:val="24"/>
        <w:szCs w:val="24"/>
      </w:rPr>
      <w:drawing>
        <wp:anchor distT="0" distB="0" distL="114300" distR="114300" simplePos="0" relativeHeight="251659264" behindDoc="0" locked="1" layoutInCell="1" allowOverlap="1" wp14:anchorId="18CBCCFA" wp14:editId="5D834B64">
          <wp:simplePos x="0" y="0"/>
          <wp:positionH relativeFrom="column">
            <wp:posOffset>3648710</wp:posOffset>
          </wp:positionH>
          <wp:positionV relativeFrom="page">
            <wp:posOffset>267970</wp:posOffset>
          </wp:positionV>
          <wp:extent cx="2778760" cy="957580"/>
          <wp:effectExtent l="0" t="0" r="2540" b="0"/>
          <wp:wrapNone/>
          <wp:docPr id="2" name="Picture 2" descr="Harrogate and District NHS Foundation Trust RGB 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arrogate and District NHS Foundation Trust RGB BLUE"/>
                  <pic:cNvPicPr>
                    <a:picLocks noChangeAspect="1" noChangeArrowheads="1"/>
                  </pic:cNvPicPr>
                </pic:nvPicPr>
                <pic:blipFill>
                  <a:blip r:embed="rId1" cstate="print">
                    <a:extLst>
                      <a:ext uri="{28A0092B-C50C-407E-A947-70E740481C1C}">
                        <a14:useLocalDpi xmlns:a14="http://schemas.microsoft.com/office/drawing/2010/main" val="0"/>
                      </a:ext>
                    </a:extLst>
                  </a:blip>
                  <a:srcRect l="23836" t="16324" b="25455"/>
                  <a:stretch>
                    <a:fillRect/>
                  </a:stretch>
                </pic:blipFill>
                <pic:spPr bwMode="auto">
                  <a:xfrm>
                    <a:off x="0" y="0"/>
                    <a:ext cx="2778760" cy="9575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60" w:rsidRDefault="00E31498" w:rsidP="00C6476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53"/>
    <w:multiLevelType w:val="hybridMultilevel"/>
    <w:tmpl w:val="4FBE8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4D5A43"/>
    <w:multiLevelType w:val="multilevel"/>
    <w:tmpl w:val="3E0A7CA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AA064A8"/>
    <w:multiLevelType w:val="hybridMultilevel"/>
    <w:tmpl w:val="57108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097536"/>
    <w:multiLevelType w:val="hybridMultilevel"/>
    <w:tmpl w:val="DF74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38564F"/>
    <w:multiLevelType w:val="hybridMultilevel"/>
    <w:tmpl w:val="4CA4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445D05"/>
    <w:multiLevelType w:val="hybridMultilevel"/>
    <w:tmpl w:val="B132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8178DC"/>
    <w:multiLevelType w:val="hybridMultilevel"/>
    <w:tmpl w:val="DD327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EA"/>
    <w:rsid w:val="00080221"/>
    <w:rsid w:val="0009703E"/>
    <w:rsid w:val="00111771"/>
    <w:rsid w:val="00173521"/>
    <w:rsid w:val="00187C10"/>
    <w:rsid w:val="001B5BD1"/>
    <w:rsid w:val="00294C2B"/>
    <w:rsid w:val="002A1F67"/>
    <w:rsid w:val="003B0957"/>
    <w:rsid w:val="004062EE"/>
    <w:rsid w:val="004A49F6"/>
    <w:rsid w:val="00504FCD"/>
    <w:rsid w:val="00593F4B"/>
    <w:rsid w:val="005E397C"/>
    <w:rsid w:val="006C59DB"/>
    <w:rsid w:val="007079EA"/>
    <w:rsid w:val="00815EC9"/>
    <w:rsid w:val="00861357"/>
    <w:rsid w:val="008A4A52"/>
    <w:rsid w:val="008B52F4"/>
    <w:rsid w:val="00915D07"/>
    <w:rsid w:val="009A7801"/>
    <w:rsid w:val="00AD5516"/>
    <w:rsid w:val="00C044D6"/>
    <w:rsid w:val="00CE22F2"/>
    <w:rsid w:val="00D6640C"/>
    <w:rsid w:val="00E31498"/>
    <w:rsid w:val="00E33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EA"/>
    <w:pPr>
      <w:spacing w:after="0"/>
    </w:pPr>
    <w:rPr>
      <w:rFonts w:ascii="Arial" w:eastAsia="Times New Roman" w:hAnsi="Arial" w:cs="Times New Roman"/>
      <w:sz w:val="23"/>
      <w:lang w:eastAsia="en-GB"/>
    </w:rPr>
  </w:style>
  <w:style w:type="paragraph" w:styleId="Heading1">
    <w:name w:val="heading 1"/>
    <w:basedOn w:val="Normal"/>
    <w:next w:val="Normal"/>
    <w:link w:val="Heading1Char"/>
    <w:qFormat/>
    <w:rsid w:val="00815EC9"/>
    <w:pPr>
      <w:keepNext/>
      <w:numPr>
        <w:numId w:val="1"/>
      </w:numPr>
      <w:spacing w:before="240" w:after="60" w:line="240" w:lineRule="auto"/>
      <w:outlineLvl w:val="0"/>
    </w:pPr>
    <w:rPr>
      <w:rFonts w:cs="Arial"/>
      <w:b/>
      <w:bCs/>
      <w:caps/>
      <w:kern w:val="32"/>
      <w:sz w:val="28"/>
      <w:szCs w:val="28"/>
      <w:lang w:eastAsia="en-US"/>
    </w:rPr>
  </w:style>
  <w:style w:type="paragraph" w:styleId="Heading2">
    <w:name w:val="heading 2"/>
    <w:basedOn w:val="Normal"/>
    <w:next w:val="Normal"/>
    <w:link w:val="Heading2Char"/>
    <w:qFormat/>
    <w:rsid w:val="00815EC9"/>
    <w:pPr>
      <w:keepNext/>
      <w:numPr>
        <w:ilvl w:val="1"/>
        <w:numId w:val="1"/>
      </w:numPr>
      <w:spacing w:before="240" w:after="60" w:line="240" w:lineRule="auto"/>
      <w:outlineLvl w:val="1"/>
    </w:pPr>
    <w:rPr>
      <w:rFonts w:cs="Arial"/>
      <w:b/>
      <w:bCs/>
      <w:iCs/>
      <w:sz w:val="24"/>
      <w:szCs w:val="28"/>
      <w:lang w:eastAsia="en-US"/>
    </w:rPr>
  </w:style>
  <w:style w:type="paragraph" w:styleId="Heading3">
    <w:name w:val="heading 3"/>
    <w:basedOn w:val="Normal"/>
    <w:next w:val="Normal"/>
    <w:link w:val="Heading3Char"/>
    <w:qFormat/>
    <w:rsid w:val="00815EC9"/>
    <w:pPr>
      <w:keepNext/>
      <w:numPr>
        <w:ilvl w:val="2"/>
        <w:numId w:val="1"/>
      </w:numPr>
      <w:spacing w:before="240" w:after="60" w:line="240" w:lineRule="auto"/>
      <w:outlineLvl w:val="2"/>
    </w:pPr>
    <w:rPr>
      <w:rFonts w:cs="Arial"/>
      <w:bCs/>
      <w:sz w:val="24"/>
      <w:szCs w:val="26"/>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79EA"/>
    <w:pPr>
      <w:tabs>
        <w:tab w:val="center" w:pos="4513"/>
        <w:tab w:val="right" w:pos="9026"/>
      </w:tabs>
    </w:pPr>
  </w:style>
  <w:style w:type="character" w:customStyle="1" w:styleId="HeaderChar">
    <w:name w:val="Header Char"/>
    <w:basedOn w:val="DefaultParagraphFont"/>
    <w:link w:val="Header"/>
    <w:rsid w:val="007079EA"/>
    <w:rPr>
      <w:rFonts w:ascii="Arial" w:eastAsia="Times New Roman" w:hAnsi="Arial" w:cs="Times New Roman"/>
      <w:sz w:val="23"/>
      <w:lang w:eastAsia="en-GB"/>
    </w:rPr>
  </w:style>
  <w:style w:type="paragraph" w:styleId="Footer">
    <w:name w:val="footer"/>
    <w:basedOn w:val="Normal"/>
    <w:link w:val="FooterChar"/>
    <w:uiPriority w:val="99"/>
    <w:unhideWhenUsed/>
    <w:rsid w:val="007079EA"/>
    <w:pPr>
      <w:tabs>
        <w:tab w:val="center" w:pos="4513"/>
        <w:tab w:val="right" w:pos="9026"/>
      </w:tabs>
    </w:pPr>
  </w:style>
  <w:style w:type="character" w:customStyle="1" w:styleId="FooterChar">
    <w:name w:val="Footer Char"/>
    <w:basedOn w:val="DefaultParagraphFont"/>
    <w:link w:val="Footer"/>
    <w:uiPriority w:val="99"/>
    <w:rsid w:val="007079EA"/>
    <w:rPr>
      <w:rFonts w:ascii="Arial" w:eastAsia="Times New Roman" w:hAnsi="Arial" w:cs="Times New Roman"/>
      <w:sz w:val="23"/>
      <w:lang w:eastAsia="en-GB"/>
    </w:rPr>
  </w:style>
  <w:style w:type="paragraph" w:customStyle="1" w:styleId="Address">
    <w:name w:val="Address"/>
    <w:basedOn w:val="Normal"/>
    <w:rsid w:val="007079EA"/>
    <w:pPr>
      <w:spacing w:after="20" w:line="240" w:lineRule="auto"/>
      <w:jc w:val="right"/>
    </w:pPr>
    <w:rPr>
      <w:b/>
      <w:sz w:val="18"/>
      <w:szCs w:val="20"/>
      <w:lang w:eastAsia="en-US"/>
    </w:rPr>
  </w:style>
  <w:style w:type="paragraph" w:styleId="BalloonText">
    <w:name w:val="Balloon Text"/>
    <w:basedOn w:val="Normal"/>
    <w:link w:val="BalloonTextChar"/>
    <w:uiPriority w:val="99"/>
    <w:semiHidden/>
    <w:unhideWhenUsed/>
    <w:rsid w:val="007079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9EA"/>
    <w:rPr>
      <w:rFonts w:ascii="Tahoma" w:eastAsia="Times New Roman" w:hAnsi="Tahoma" w:cs="Tahoma"/>
      <w:sz w:val="16"/>
      <w:szCs w:val="16"/>
      <w:lang w:eastAsia="en-GB"/>
    </w:rPr>
  </w:style>
  <w:style w:type="character" w:customStyle="1" w:styleId="Heading1Char">
    <w:name w:val="Heading 1 Char"/>
    <w:basedOn w:val="DefaultParagraphFont"/>
    <w:link w:val="Heading1"/>
    <w:rsid w:val="00815EC9"/>
    <w:rPr>
      <w:rFonts w:ascii="Arial" w:eastAsia="Times New Roman" w:hAnsi="Arial" w:cs="Arial"/>
      <w:b/>
      <w:bCs/>
      <w:caps/>
      <w:kern w:val="32"/>
      <w:sz w:val="28"/>
      <w:szCs w:val="28"/>
    </w:rPr>
  </w:style>
  <w:style w:type="character" w:customStyle="1" w:styleId="Heading2Char">
    <w:name w:val="Heading 2 Char"/>
    <w:basedOn w:val="DefaultParagraphFont"/>
    <w:link w:val="Heading2"/>
    <w:rsid w:val="00815EC9"/>
    <w:rPr>
      <w:rFonts w:ascii="Arial" w:eastAsia="Times New Roman" w:hAnsi="Arial" w:cs="Arial"/>
      <w:b/>
      <w:bCs/>
      <w:iCs/>
      <w:sz w:val="24"/>
      <w:szCs w:val="28"/>
    </w:rPr>
  </w:style>
  <w:style w:type="character" w:customStyle="1" w:styleId="Heading3Char">
    <w:name w:val="Heading 3 Char"/>
    <w:basedOn w:val="DefaultParagraphFont"/>
    <w:link w:val="Heading3"/>
    <w:rsid w:val="00815EC9"/>
    <w:rPr>
      <w:rFonts w:ascii="Arial" w:eastAsia="Times New Roman" w:hAnsi="Arial" w:cs="Arial"/>
      <w:bCs/>
      <w:sz w:val="24"/>
      <w:szCs w:val="26"/>
      <w:u w:val="single"/>
    </w:rPr>
  </w:style>
  <w:style w:type="character" w:styleId="PageNumber">
    <w:name w:val="page number"/>
    <w:basedOn w:val="DefaultParagraphFont"/>
    <w:rsid w:val="00815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EA"/>
    <w:pPr>
      <w:spacing w:after="0"/>
    </w:pPr>
    <w:rPr>
      <w:rFonts w:ascii="Arial" w:eastAsia="Times New Roman" w:hAnsi="Arial" w:cs="Times New Roman"/>
      <w:sz w:val="23"/>
      <w:lang w:eastAsia="en-GB"/>
    </w:rPr>
  </w:style>
  <w:style w:type="paragraph" w:styleId="Heading1">
    <w:name w:val="heading 1"/>
    <w:basedOn w:val="Normal"/>
    <w:next w:val="Normal"/>
    <w:link w:val="Heading1Char"/>
    <w:qFormat/>
    <w:rsid w:val="00815EC9"/>
    <w:pPr>
      <w:keepNext/>
      <w:numPr>
        <w:numId w:val="1"/>
      </w:numPr>
      <w:spacing w:before="240" w:after="60" w:line="240" w:lineRule="auto"/>
      <w:outlineLvl w:val="0"/>
    </w:pPr>
    <w:rPr>
      <w:rFonts w:cs="Arial"/>
      <w:b/>
      <w:bCs/>
      <w:caps/>
      <w:kern w:val="32"/>
      <w:sz w:val="28"/>
      <w:szCs w:val="28"/>
      <w:lang w:eastAsia="en-US"/>
    </w:rPr>
  </w:style>
  <w:style w:type="paragraph" w:styleId="Heading2">
    <w:name w:val="heading 2"/>
    <w:basedOn w:val="Normal"/>
    <w:next w:val="Normal"/>
    <w:link w:val="Heading2Char"/>
    <w:qFormat/>
    <w:rsid w:val="00815EC9"/>
    <w:pPr>
      <w:keepNext/>
      <w:numPr>
        <w:ilvl w:val="1"/>
        <w:numId w:val="1"/>
      </w:numPr>
      <w:spacing w:before="240" w:after="60" w:line="240" w:lineRule="auto"/>
      <w:outlineLvl w:val="1"/>
    </w:pPr>
    <w:rPr>
      <w:rFonts w:cs="Arial"/>
      <w:b/>
      <w:bCs/>
      <w:iCs/>
      <w:sz w:val="24"/>
      <w:szCs w:val="28"/>
      <w:lang w:eastAsia="en-US"/>
    </w:rPr>
  </w:style>
  <w:style w:type="paragraph" w:styleId="Heading3">
    <w:name w:val="heading 3"/>
    <w:basedOn w:val="Normal"/>
    <w:next w:val="Normal"/>
    <w:link w:val="Heading3Char"/>
    <w:qFormat/>
    <w:rsid w:val="00815EC9"/>
    <w:pPr>
      <w:keepNext/>
      <w:numPr>
        <w:ilvl w:val="2"/>
        <w:numId w:val="1"/>
      </w:numPr>
      <w:spacing w:before="240" w:after="60" w:line="240" w:lineRule="auto"/>
      <w:outlineLvl w:val="2"/>
    </w:pPr>
    <w:rPr>
      <w:rFonts w:cs="Arial"/>
      <w:bCs/>
      <w:sz w:val="24"/>
      <w:szCs w:val="26"/>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79EA"/>
    <w:pPr>
      <w:tabs>
        <w:tab w:val="center" w:pos="4513"/>
        <w:tab w:val="right" w:pos="9026"/>
      </w:tabs>
    </w:pPr>
  </w:style>
  <w:style w:type="character" w:customStyle="1" w:styleId="HeaderChar">
    <w:name w:val="Header Char"/>
    <w:basedOn w:val="DefaultParagraphFont"/>
    <w:link w:val="Header"/>
    <w:rsid w:val="007079EA"/>
    <w:rPr>
      <w:rFonts w:ascii="Arial" w:eastAsia="Times New Roman" w:hAnsi="Arial" w:cs="Times New Roman"/>
      <w:sz w:val="23"/>
      <w:lang w:eastAsia="en-GB"/>
    </w:rPr>
  </w:style>
  <w:style w:type="paragraph" w:styleId="Footer">
    <w:name w:val="footer"/>
    <w:basedOn w:val="Normal"/>
    <w:link w:val="FooterChar"/>
    <w:uiPriority w:val="99"/>
    <w:unhideWhenUsed/>
    <w:rsid w:val="007079EA"/>
    <w:pPr>
      <w:tabs>
        <w:tab w:val="center" w:pos="4513"/>
        <w:tab w:val="right" w:pos="9026"/>
      </w:tabs>
    </w:pPr>
  </w:style>
  <w:style w:type="character" w:customStyle="1" w:styleId="FooterChar">
    <w:name w:val="Footer Char"/>
    <w:basedOn w:val="DefaultParagraphFont"/>
    <w:link w:val="Footer"/>
    <w:uiPriority w:val="99"/>
    <w:rsid w:val="007079EA"/>
    <w:rPr>
      <w:rFonts w:ascii="Arial" w:eastAsia="Times New Roman" w:hAnsi="Arial" w:cs="Times New Roman"/>
      <w:sz w:val="23"/>
      <w:lang w:eastAsia="en-GB"/>
    </w:rPr>
  </w:style>
  <w:style w:type="paragraph" w:customStyle="1" w:styleId="Address">
    <w:name w:val="Address"/>
    <w:basedOn w:val="Normal"/>
    <w:rsid w:val="007079EA"/>
    <w:pPr>
      <w:spacing w:after="20" w:line="240" w:lineRule="auto"/>
      <w:jc w:val="right"/>
    </w:pPr>
    <w:rPr>
      <w:b/>
      <w:sz w:val="18"/>
      <w:szCs w:val="20"/>
      <w:lang w:eastAsia="en-US"/>
    </w:rPr>
  </w:style>
  <w:style w:type="paragraph" w:styleId="BalloonText">
    <w:name w:val="Balloon Text"/>
    <w:basedOn w:val="Normal"/>
    <w:link w:val="BalloonTextChar"/>
    <w:uiPriority w:val="99"/>
    <w:semiHidden/>
    <w:unhideWhenUsed/>
    <w:rsid w:val="007079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9EA"/>
    <w:rPr>
      <w:rFonts w:ascii="Tahoma" w:eastAsia="Times New Roman" w:hAnsi="Tahoma" w:cs="Tahoma"/>
      <w:sz w:val="16"/>
      <w:szCs w:val="16"/>
      <w:lang w:eastAsia="en-GB"/>
    </w:rPr>
  </w:style>
  <w:style w:type="character" w:customStyle="1" w:styleId="Heading1Char">
    <w:name w:val="Heading 1 Char"/>
    <w:basedOn w:val="DefaultParagraphFont"/>
    <w:link w:val="Heading1"/>
    <w:rsid w:val="00815EC9"/>
    <w:rPr>
      <w:rFonts w:ascii="Arial" w:eastAsia="Times New Roman" w:hAnsi="Arial" w:cs="Arial"/>
      <w:b/>
      <w:bCs/>
      <w:caps/>
      <w:kern w:val="32"/>
      <w:sz w:val="28"/>
      <w:szCs w:val="28"/>
    </w:rPr>
  </w:style>
  <w:style w:type="character" w:customStyle="1" w:styleId="Heading2Char">
    <w:name w:val="Heading 2 Char"/>
    <w:basedOn w:val="DefaultParagraphFont"/>
    <w:link w:val="Heading2"/>
    <w:rsid w:val="00815EC9"/>
    <w:rPr>
      <w:rFonts w:ascii="Arial" w:eastAsia="Times New Roman" w:hAnsi="Arial" w:cs="Arial"/>
      <w:b/>
      <w:bCs/>
      <w:iCs/>
      <w:sz w:val="24"/>
      <w:szCs w:val="28"/>
    </w:rPr>
  </w:style>
  <w:style w:type="character" w:customStyle="1" w:styleId="Heading3Char">
    <w:name w:val="Heading 3 Char"/>
    <w:basedOn w:val="DefaultParagraphFont"/>
    <w:link w:val="Heading3"/>
    <w:rsid w:val="00815EC9"/>
    <w:rPr>
      <w:rFonts w:ascii="Arial" w:eastAsia="Times New Roman" w:hAnsi="Arial" w:cs="Arial"/>
      <w:bCs/>
      <w:sz w:val="24"/>
      <w:szCs w:val="26"/>
      <w:u w:val="single"/>
    </w:rPr>
  </w:style>
  <w:style w:type="character" w:styleId="PageNumber">
    <w:name w:val="page number"/>
    <w:basedOn w:val="DefaultParagraphFont"/>
    <w:rsid w:val="00815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science/article/pii/S2213219815004419/pdfft?md5=2d67ee88c2786925a7aa2f37f6de62b5&amp;pid=1-s2.0-S2213219815004419-main.pdf" TargetMode="External"/><Relationship Id="rId18" Type="http://schemas.openxmlformats.org/officeDocument/2006/relationships/hyperlink" Target="https://www.gov.uk/government/uploads/system/uploads/attachment_data/file/503773/2905109_Green_Book_Chapter_28a_v3_0W.PDF" TargetMode="External"/><Relationship Id="rId26" Type="http://schemas.openxmlformats.org/officeDocument/2006/relationships/hyperlink" Target="https://www.medicines.org.uk/emc/medicine/25927" TargetMode="External"/><Relationship Id="rId3" Type="http://schemas.openxmlformats.org/officeDocument/2006/relationships/styles" Target="styles.xml"/><Relationship Id="rId21" Type="http://schemas.openxmlformats.org/officeDocument/2006/relationships/hyperlink" Target="http://0-www.nature.com.wam.leeds.ac.uk/leu/journal/v27/n1/full/leu2012187a.html" TargetMode="External"/><Relationship Id="rId7" Type="http://schemas.openxmlformats.org/officeDocument/2006/relationships/footnotes" Target="footnotes.xml"/><Relationship Id="rId12" Type="http://schemas.openxmlformats.org/officeDocument/2006/relationships/hyperlink" Target="http://nww.hdft.nhs.uk/EasysiteWeb/getresource.axd?AssetID=53227&amp;type=full&amp;servicetype=Attachment" TargetMode="External"/><Relationship Id="rId17" Type="http://schemas.openxmlformats.org/officeDocument/2006/relationships/hyperlink" Target="https://www.gov.uk/government/uploads/system/uploads/attachment_data/file/263318/Green-Book-Chapter-25-v5_2.pdf" TargetMode="External"/><Relationship Id="rId25" Type="http://schemas.openxmlformats.org/officeDocument/2006/relationships/hyperlink" Target="http://www.hematologyandoncology.net/files/2014/07/Whitaker1.pdf"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541186/2905559_Green_Book_Chapter_22.pdf" TargetMode="External"/><Relationship Id="rId20" Type="http://schemas.openxmlformats.org/officeDocument/2006/relationships/hyperlink" Target="http://www.cdc.gov/mmwr/pdf/wk/mm6140.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0-www.tandfonline.com.wam.leeds.ac.uk/doi/pdf/10.1080/1042819031000063408" TargetMode="External"/><Relationship Id="rId5" Type="http://schemas.openxmlformats.org/officeDocument/2006/relationships/settings" Target="settings.xml"/><Relationship Id="rId15" Type="http://schemas.openxmlformats.org/officeDocument/2006/relationships/hyperlink" Target="https://www.gov.uk/government/uploads/system/uploads/attachment_data/file/147953/Green-Book-Chapter-16.pdf" TargetMode="External"/><Relationship Id="rId23" Type="http://schemas.openxmlformats.org/officeDocument/2006/relationships/hyperlink" Target="http://cid.oxfordjournals.org/content/early/2013/11/26/cid.cit684.full.pdf+html"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gov.uk/government/uploads/system/uploads/attachment_data/file/148506/Green-Book-Chapter-30-dh_103982.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v.uk/government/uploads/system/uploads/attachment_data/file/309218/Green_Book_Chapter_7_v1_3.pdf" TargetMode="External"/><Relationship Id="rId22" Type="http://schemas.openxmlformats.org/officeDocument/2006/relationships/hyperlink" Target="http://onlinelibrary.wiley.com/doi/10.1111/bjh.12067/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1D2DF-709B-43E4-9DE5-14E302C3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3837</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Harrogate and  District NHS Foundation Trust</Company>
  <LinksUpToDate>false</LinksUpToDate>
  <CharactersWithSpaces>25659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Kate (RCD)</dc:creator>
  <cp:lastModifiedBy>Wright Jamie (RCD)</cp:lastModifiedBy>
  <cp:revision>2</cp:revision>
  <cp:lastPrinted>2017-04-03T13:38:00Z</cp:lastPrinted>
  <dcterms:created xsi:type="dcterms:W3CDTF">2018-05-08T09:31:00Z</dcterms:created>
  <dcterms:modified xsi:type="dcterms:W3CDTF">2018-05-08T09:31:00Z</dcterms:modified>
</cp:coreProperties>
</file>