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F94" w:rsidRDefault="00E80F94">
      <w:pP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5pt;margin-top:-22.55pt;width:183pt;height:75.5pt;z-index:251693056;mso-position-horizontal-relative:text;mso-position-vertical-relative:text;mso-width-relative:page;mso-height-relative:page">
            <v:imagedata r:id="rId8" o:title="HDFT_LOGO-2017- COLOUR"/>
            <w10:wrap type="square"/>
          </v:shape>
        </w:pict>
      </w:r>
    </w:p>
    <w:p w:rsidR="00E80F94" w:rsidRDefault="00E80F94">
      <w:pPr>
        <w:rPr>
          <w:b/>
        </w:rPr>
      </w:pPr>
    </w:p>
    <w:p w:rsidR="00E80F94" w:rsidRDefault="00E80F94">
      <w:pPr>
        <w:rPr>
          <w:b/>
        </w:rPr>
      </w:pPr>
    </w:p>
    <w:p w:rsidR="00E80F94" w:rsidRDefault="00E80F94">
      <w:pPr>
        <w:rPr>
          <w:b/>
        </w:rPr>
      </w:pPr>
    </w:p>
    <w:p w:rsidR="00E80F94" w:rsidRDefault="00E80F94">
      <w:pPr>
        <w:rPr>
          <w:b/>
        </w:rPr>
      </w:pPr>
    </w:p>
    <w:p w:rsidR="00E80F94" w:rsidRDefault="00E80F94">
      <w:pPr>
        <w:rPr>
          <w:b/>
        </w:rPr>
      </w:pPr>
    </w:p>
    <w:p w:rsidR="006A0723" w:rsidRPr="00E80F94" w:rsidRDefault="006A0723" w:rsidP="00E80F94">
      <w:pPr>
        <w:jc w:val="center"/>
        <w:rPr>
          <w:b/>
          <w:sz w:val="28"/>
          <w:szCs w:val="28"/>
        </w:rPr>
      </w:pPr>
      <w:r w:rsidRPr="00E80F94">
        <w:rPr>
          <w:b/>
          <w:sz w:val="28"/>
          <w:szCs w:val="28"/>
        </w:rPr>
        <w:t>Algorit</w:t>
      </w:r>
      <w:r w:rsidR="00CB3745" w:rsidRPr="00E80F94">
        <w:rPr>
          <w:b/>
          <w:sz w:val="28"/>
          <w:szCs w:val="28"/>
        </w:rPr>
        <w:t>hm for the investigation</w:t>
      </w:r>
      <w:r w:rsidR="00E80F94" w:rsidRPr="00E80F94">
        <w:rPr>
          <w:b/>
          <w:sz w:val="28"/>
          <w:szCs w:val="28"/>
        </w:rPr>
        <w:t xml:space="preserve"> of</w:t>
      </w:r>
      <w:r w:rsidR="0089645E" w:rsidRPr="00E80F94">
        <w:rPr>
          <w:b/>
          <w:sz w:val="28"/>
          <w:szCs w:val="28"/>
        </w:rPr>
        <w:t xml:space="preserve"> raised Ferritin</w:t>
      </w:r>
    </w:p>
    <w:p w:rsidR="006A0723" w:rsidRDefault="006A0723">
      <w:pPr>
        <w:rPr>
          <w:b/>
        </w:rPr>
      </w:pPr>
    </w:p>
    <w:p w:rsidR="006A0723" w:rsidRDefault="000125DC">
      <w:pPr>
        <w:rPr>
          <w:b/>
        </w:rPr>
      </w:pPr>
      <w:r>
        <w:rPr>
          <w:b/>
          <w:noProof/>
        </w:rPr>
        <mc:AlternateContent>
          <mc:Choice Requires="wpg">
            <w:drawing>
              <wp:anchor distT="0" distB="0" distL="114300" distR="114300" simplePos="0" relativeHeight="251691008" behindDoc="0" locked="0" layoutInCell="1" allowOverlap="1" wp14:anchorId="0CD810CE" wp14:editId="580965D5">
                <wp:simplePos x="0" y="0"/>
                <wp:positionH relativeFrom="column">
                  <wp:posOffset>-26035</wp:posOffset>
                </wp:positionH>
                <wp:positionV relativeFrom="paragraph">
                  <wp:posOffset>75565</wp:posOffset>
                </wp:positionV>
                <wp:extent cx="6629400" cy="7286625"/>
                <wp:effectExtent l="0" t="0" r="19050" b="28575"/>
                <wp:wrapNone/>
                <wp:docPr id="32" name="Group 32"/>
                <wp:cNvGraphicFramePr/>
                <a:graphic xmlns:a="http://schemas.openxmlformats.org/drawingml/2006/main">
                  <a:graphicData uri="http://schemas.microsoft.com/office/word/2010/wordprocessingGroup">
                    <wpg:wgp>
                      <wpg:cNvGrpSpPr/>
                      <wpg:grpSpPr>
                        <a:xfrm>
                          <a:off x="0" y="0"/>
                          <a:ext cx="6629400" cy="7286625"/>
                          <a:chOff x="0" y="0"/>
                          <a:chExt cx="6629400" cy="7286625"/>
                        </a:xfrm>
                      </wpg:grpSpPr>
                      <wps:wsp>
                        <wps:cNvPr id="1" name="Text Box 1"/>
                        <wps:cNvSpPr txBox="1"/>
                        <wps:spPr>
                          <a:xfrm>
                            <a:off x="2371725" y="0"/>
                            <a:ext cx="1600200" cy="4381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6A0723" w:rsidRPr="006F2ACC" w:rsidRDefault="006A0723" w:rsidP="006A0723">
                              <w:pPr>
                                <w:jc w:val="center"/>
                                <w:rPr>
                                  <w:sz w:val="16"/>
                                  <w:szCs w:val="16"/>
                                </w:rPr>
                              </w:pPr>
                              <w:r w:rsidRPr="006F2ACC">
                                <w:rPr>
                                  <w:sz w:val="16"/>
                                  <w:szCs w:val="16"/>
                                </w:rPr>
                                <w:t>Raised Ferritin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1343025" y="733425"/>
                            <a:ext cx="3914775" cy="8477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6A0723" w:rsidRPr="006F2ACC" w:rsidRDefault="006A0723" w:rsidP="006A0723">
                              <w:pPr>
                                <w:jc w:val="center"/>
                                <w:rPr>
                                  <w:b/>
                                  <w:sz w:val="20"/>
                                  <w:szCs w:val="20"/>
                                </w:rPr>
                              </w:pPr>
                              <w:r w:rsidRPr="006F2ACC">
                                <w:rPr>
                                  <w:b/>
                                  <w:sz w:val="20"/>
                                  <w:szCs w:val="20"/>
                                </w:rPr>
                                <w:t>Possible Causes</w:t>
                              </w:r>
                            </w:p>
                            <w:p w:rsidR="006A0723" w:rsidRPr="006F2ACC" w:rsidRDefault="006A0723" w:rsidP="006A0723">
                              <w:pPr>
                                <w:pStyle w:val="ListParagraph"/>
                                <w:numPr>
                                  <w:ilvl w:val="0"/>
                                  <w:numId w:val="1"/>
                                </w:numPr>
                                <w:ind w:left="426" w:hanging="426"/>
                                <w:jc w:val="both"/>
                                <w:rPr>
                                  <w:b/>
                                  <w:sz w:val="16"/>
                                  <w:szCs w:val="16"/>
                                </w:rPr>
                              </w:pPr>
                              <w:r w:rsidRPr="006F2ACC">
                                <w:rPr>
                                  <w:sz w:val="16"/>
                                  <w:szCs w:val="16"/>
                                </w:rPr>
                                <w:t>Acute phase response</w:t>
                              </w:r>
                              <w:r w:rsidR="006F2ACC" w:rsidRPr="006F2ACC">
                                <w:rPr>
                                  <w:sz w:val="16"/>
                                  <w:szCs w:val="16"/>
                                </w:rPr>
                                <w:t xml:space="preserve"> (inflammation, infection, malignancy)</w:t>
                              </w:r>
                            </w:p>
                            <w:p w:rsidR="006F2ACC" w:rsidRPr="006F2ACC" w:rsidRDefault="006F2ACC" w:rsidP="006A0723">
                              <w:pPr>
                                <w:pStyle w:val="ListParagraph"/>
                                <w:numPr>
                                  <w:ilvl w:val="0"/>
                                  <w:numId w:val="1"/>
                                </w:numPr>
                                <w:ind w:left="426" w:hanging="426"/>
                                <w:jc w:val="both"/>
                                <w:rPr>
                                  <w:b/>
                                  <w:sz w:val="16"/>
                                  <w:szCs w:val="16"/>
                                </w:rPr>
                              </w:pPr>
                              <w:r w:rsidRPr="006F2ACC">
                                <w:rPr>
                                  <w:sz w:val="16"/>
                                  <w:szCs w:val="16"/>
                                </w:rPr>
                                <w:t>Alcohol</w:t>
                              </w:r>
                            </w:p>
                            <w:p w:rsidR="006F2ACC" w:rsidRPr="006F2ACC" w:rsidRDefault="006F2ACC" w:rsidP="006A0723">
                              <w:pPr>
                                <w:pStyle w:val="ListParagraph"/>
                                <w:numPr>
                                  <w:ilvl w:val="0"/>
                                  <w:numId w:val="1"/>
                                </w:numPr>
                                <w:ind w:left="426" w:hanging="426"/>
                                <w:jc w:val="both"/>
                                <w:rPr>
                                  <w:b/>
                                  <w:sz w:val="16"/>
                                  <w:szCs w:val="16"/>
                                </w:rPr>
                              </w:pPr>
                              <w:r w:rsidRPr="006F2ACC">
                                <w:rPr>
                                  <w:sz w:val="16"/>
                                  <w:szCs w:val="16"/>
                                </w:rPr>
                                <w:t xml:space="preserve">Hepatic dysfunction/disease </w:t>
                              </w:r>
                            </w:p>
                            <w:p w:rsidR="006F2ACC" w:rsidRPr="006F2ACC" w:rsidRDefault="006F2ACC" w:rsidP="006A0723">
                              <w:pPr>
                                <w:pStyle w:val="ListParagraph"/>
                                <w:numPr>
                                  <w:ilvl w:val="0"/>
                                  <w:numId w:val="1"/>
                                </w:numPr>
                                <w:ind w:left="426" w:hanging="426"/>
                                <w:jc w:val="both"/>
                                <w:rPr>
                                  <w:b/>
                                  <w:sz w:val="16"/>
                                  <w:szCs w:val="16"/>
                                </w:rPr>
                              </w:pPr>
                              <w:r w:rsidRPr="006F2ACC">
                                <w:rPr>
                                  <w:sz w:val="16"/>
                                  <w:szCs w:val="16"/>
                                </w:rPr>
                                <w:t>True Iron Overload (Hereditary Haemochromatosis, ineffective erythropoiesis, multiple transfusion, iatrogenic</w:t>
                              </w:r>
                              <w:r w:rsidR="00BE51CE">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361950" y="1924050"/>
                            <a:ext cx="6105525" cy="10477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6F2ACC" w:rsidRDefault="006F2ACC" w:rsidP="006F2ACC">
                              <w:pPr>
                                <w:jc w:val="center"/>
                                <w:rPr>
                                  <w:b/>
                                </w:rPr>
                              </w:pPr>
                              <w:r>
                                <w:rPr>
                                  <w:b/>
                                </w:rPr>
                                <w:t>Tests</w:t>
                              </w:r>
                            </w:p>
                            <w:p w:rsidR="00CB3745" w:rsidRDefault="00CB3745" w:rsidP="006F2ACC">
                              <w:pPr>
                                <w:pStyle w:val="ListParagraph"/>
                                <w:numPr>
                                  <w:ilvl w:val="0"/>
                                  <w:numId w:val="2"/>
                                </w:numPr>
                                <w:ind w:left="426" w:hanging="426"/>
                                <w:jc w:val="both"/>
                                <w:rPr>
                                  <w:sz w:val="16"/>
                                  <w:szCs w:val="16"/>
                                </w:rPr>
                              </w:pPr>
                              <w:r>
                                <w:rPr>
                                  <w:sz w:val="16"/>
                                  <w:szCs w:val="16"/>
                                </w:rPr>
                                <w:t>Exclude alcohol as a cause (if suspected then 6 months abstinence required and then retest)</w:t>
                              </w:r>
                            </w:p>
                            <w:p w:rsidR="00317432" w:rsidRDefault="00317432" w:rsidP="006F2ACC">
                              <w:pPr>
                                <w:pStyle w:val="ListParagraph"/>
                                <w:numPr>
                                  <w:ilvl w:val="0"/>
                                  <w:numId w:val="2"/>
                                </w:numPr>
                                <w:ind w:left="426" w:hanging="426"/>
                                <w:jc w:val="both"/>
                                <w:rPr>
                                  <w:sz w:val="16"/>
                                  <w:szCs w:val="16"/>
                                </w:rPr>
                              </w:pPr>
                              <w:r>
                                <w:rPr>
                                  <w:sz w:val="16"/>
                                  <w:szCs w:val="16"/>
                                </w:rPr>
                                <w:t>History/examination/investigations to exclude infection/inflammatory conditions/malignancy (to include CRP)</w:t>
                              </w:r>
                            </w:p>
                            <w:p w:rsidR="00317432" w:rsidRDefault="00317432" w:rsidP="006F2ACC">
                              <w:pPr>
                                <w:pStyle w:val="ListParagraph"/>
                                <w:numPr>
                                  <w:ilvl w:val="0"/>
                                  <w:numId w:val="2"/>
                                </w:numPr>
                                <w:ind w:left="426" w:hanging="426"/>
                                <w:jc w:val="both"/>
                                <w:rPr>
                                  <w:sz w:val="16"/>
                                  <w:szCs w:val="16"/>
                                </w:rPr>
                              </w:pPr>
                              <w:r>
                                <w:rPr>
                                  <w:sz w:val="16"/>
                                  <w:szCs w:val="16"/>
                                </w:rPr>
                                <w:t>Consider non-invasive liver screen: bloods/liver USS/consider testing serum lipids</w:t>
                              </w:r>
                            </w:p>
                            <w:p w:rsidR="00317432" w:rsidRDefault="00317432" w:rsidP="006F2ACC">
                              <w:pPr>
                                <w:pStyle w:val="ListParagraph"/>
                                <w:numPr>
                                  <w:ilvl w:val="0"/>
                                  <w:numId w:val="2"/>
                                </w:numPr>
                                <w:ind w:left="426" w:hanging="426"/>
                                <w:jc w:val="both"/>
                                <w:rPr>
                                  <w:sz w:val="16"/>
                                  <w:szCs w:val="16"/>
                                </w:rPr>
                              </w:pPr>
                              <w:r>
                                <w:rPr>
                                  <w:sz w:val="16"/>
                                  <w:szCs w:val="16"/>
                                </w:rPr>
                                <w:t>? Family history of Hereditary Haemochromatosis</w:t>
                              </w:r>
                            </w:p>
                            <w:p w:rsidR="00317432" w:rsidRPr="006F2ACC" w:rsidRDefault="00317432" w:rsidP="006F2ACC">
                              <w:pPr>
                                <w:pStyle w:val="ListParagraph"/>
                                <w:numPr>
                                  <w:ilvl w:val="0"/>
                                  <w:numId w:val="2"/>
                                </w:numPr>
                                <w:ind w:left="426" w:hanging="426"/>
                                <w:jc w:val="both"/>
                                <w:rPr>
                                  <w:sz w:val="16"/>
                                  <w:szCs w:val="16"/>
                                </w:rPr>
                              </w:pPr>
                              <w:r>
                                <w:rPr>
                                  <w:sz w:val="16"/>
                                  <w:szCs w:val="16"/>
                                </w:rPr>
                                <w:t>Fasting Transferrin saturation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85725" y="3533775"/>
                            <a:ext cx="1895475" cy="6000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F2ACC" w:rsidRDefault="0085568E" w:rsidP="00E951CD">
                              <w:pPr>
                                <w:jc w:val="both"/>
                                <w:rPr>
                                  <w:rFonts w:cs="Arial"/>
                                  <w:sz w:val="16"/>
                                  <w:szCs w:val="16"/>
                                </w:rPr>
                              </w:pPr>
                              <w:r>
                                <w:rPr>
                                  <w:sz w:val="16"/>
                                  <w:szCs w:val="16"/>
                                </w:rPr>
                                <w:t xml:space="preserve">Fasting </w:t>
                              </w:r>
                              <w:r w:rsidR="006F2ACC" w:rsidRPr="006F2ACC">
                                <w:rPr>
                                  <w:sz w:val="16"/>
                                  <w:szCs w:val="16"/>
                                </w:rPr>
                                <w:t xml:space="preserve">Transferrin saturation </w:t>
                              </w:r>
                              <w:r>
                                <w:rPr>
                                  <w:sz w:val="16"/>
                                  <w:szCs w:val="16"/>
                                </w:rPr>
                                <w:t xml:space="preserve">(TS) </w:t>
                              </w:r>
                            </w:p>
                            <w:p w:rsidR="0085568E" w:rsidRDefault="0085568E" w:rsidP="00E951CD">
                              <w:pPr>
                                <w:jc w:val="both"/>
                                <w:rPr>
                                  <w:rFonts w:cs="Arial"/>
                                  <w:sz w:val="16"/>
                                  <w:szCs w:val="16"/>
                                </w:rPr>
                              </w:pPr>
                              <w:r>
                                <w:rPr>
                                  <w:rFonts w:cs="Arial"/>
                                  <w:sz w:val="16"/>
                                  <w:szCs w:val="16"/>
                                </w:rPr>
                                <w:t>&gt;50% in premenopausal women or</w:t>
                              </w:r>
                            </w:p>
                            <w:p w:rsidR="0085568E" w:rsidRPr="006F2ACC" w:rsidRDefault="0085568E" w:rsidP="00E951CD">
                              <w:pPr>
                                <w:jc w:val="both"/>
                                <w:rPr>
                                  <w:sz w:val="16"/>
                                  <w:szCs w:val="16"/>
                                </w:rPr>
                              </w:pPr>
                              <w:r>
                                <w:rPr>
                                  <w:rFonts w:cs="Arial"/>
                                  <w:sz w:val="16"/>
                                  <w:szCs w:val="16"/>
                                </w:rPr>
                                <w:t>&gt;55% in postmenopausal women and men suggests iron overload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4391025"/>
                            <a:ext cx="2552700" cy="11430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11EE7" w:rsidRDefault="00411EE7" w:rsidP="00E951CD">
                              <w:pPr>
                                <w:jc w:val="both"/>
                                <w:rPr>
                                  <w:sz w:val="16"/>
                                  <w:szCs w:val="16"/>
                                </w:rPr>
                              </w:pPr>
                              <w:r>
                                <w:rPr>
                                  <w:sz w:val="16"/>
                                  <w:szCs w:val="16"/>
                                </w:rPr>
                                <w:t xml:space="preserve">Refer </w:t>
                              </w:r>
                              <w:r w:rsidR="0085568E">
                                <w:rPr>
                                  <w:sz w:val="16"/>
                                  <w:szCs w:val="16"/>
                                </w:rPr>
                                <w:t>non</w:t>
                              </w:r>
                              <w:r w:rsidR="00E951CD">
                                <w:rPr>
                                  <w:sz w:val="16"/>
                                  <w:szCs w:val="16"/>
                                </w:rPr>
                                <w:t>-</w:t>
                              </w:r>
                              <w:r w:rsidR="0085568E">
                                <w:rPr>
                                  <w:sz w:val="16"/>
                                  <w:szCs w:val="16"/>
                                </w:rPr>
                                <w:t xml:space="preserve">urgently to Haematology </w:t>
                              </w:r>
                              <w:r w:rsidR="00844E67">
                                <w:rPr>
                                  <w:sz w:val="16"/>
                                  <w:szCs w:val="16"/>
                                </w:rPr>
                                <w:t>for investigation for</w:t>
                              </w:r>
                              <w:r>
                                <w:rPr>
                                  <w:sz w:val="16"/>
                                  <w:szCs w:val="16"/>
                                </w:rPr>
                                <w:t xml:space="preserve"> Hereditary </w:t>
                              </w:r>
                              <w:r w:rsidR="0085568E">
                                <w:rPr>
                                  <w:sz w:val="16"/>
                                  <w:szCs w:val="16"/>
                                </w:rPr>
                                <w:t>H</w:t>
                              </w:r>
                              <w:r>
                                <w:rPr>
                                  <w:sz w:val="16"/>
                                  <w:szCs w:val="16"/>
                                </w:rPr>
                                <w:t xml:space="preserve">aemochromatosis.  </w:t>
                              </w:r>
                            </w:p>
                            <w:p w:rsidR="00F013E1" w:rsidRPr="00411EE7" w:rsidRDefault="00F013E1" w:rsidP="00E951CD">
                              <w:pPr>
                                <w:jc w:val="both"/>
                                <w:rPr>
                                  <w:sz w:val="16"/>
                                  <w:szCs w:val="16"/>
                                </w:rPr>
                              </w:pPr>
                              <w:r>
                                <w:rPr>
                                  <w:sz w:val="16"/>
                                  <w:szCs w:val="16"/>
                                </w:rPr>
                                <w:t>If Haemochromatosis is thought to be likely (raised fasting TS and/or family history positive) and patient consents, then Haemochromatosis gene mutation studies (5 ml EDTA sample) can be sent from General Practice to the Haematology laboratory at HDFT so that the result will be available at the first clinic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752975" y="3533775"/>
                            <a:ext cx="187642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68E2" w:rsidRDefault="00F013E1" w:rsidP="00E951CD">
                              <w:pPr>
                                <w:jc w:val="both"/>
                                <w:rPr>
                                  <w:sz w:val="16"/>
                                  <w:szCs w:val="16"/>
                                </w:rPr>
                              </w:pPr>
                              <w:r>
                                <w:rPr>
                                  <w:sz w:val="16"/>
                                  <w:szCs w:val="16"/>
                                </w:rPr>
                                <w:t xml:space="preserve">Fasting </w:t>
                              </w:r>
                              <w:r w:rsidR="008D68E2">
                                <w:rPr>
                                  <w:sz w:val="16"/>
                                  <w:szCs w:val="16"/>
                                </w:rPr>
                                <w:t>Transferrin</w:t>
                              </w:r>
                              <w:r>
                                <w:rPr>
                                  <w:sz w:val="16"/>
                                  <w:szCs w:val="16"/>
                                </w:rPr>
                                <w:t xml:space="preserve"> </w:t>
                              </w:r>
                              <w:r w:rsidR="008D68E2">
                                <w:rPr>
                                  <w:sz w:val="16"/>
                                  <w:szCs w:val="16"/>
                                </w:rPr>
                                <w:t>Saturation</w:t>
                              </w:r>
                              <w:r w:rsidR="00844E67">
                                <w:rPr>
                                  <w:sz w:val="16"/>
                                  <w:szCs w:val="16"/>
                                </w:rPr>
                                <w:t xml:space="preserve"> (TS)</w:t>
                              </w:r>
                              <w:r w:rsidR="008D68E2">
                                <w:rPr>
                                  <w:sz w:val="16"/>
                                  <w:szCs w:val="16"/>
                                </w:rPr>
                                <w:t xml:space="preserve"> </w:t>
                              </w:r>
                              <w:r>
                                <w:rPr>
                                  <w:sz w:val="16"/>
                                  <w:szCs w:val="16"/>
                                </w:rPr>
                                <w:t>&lt;50</w:t>
                              </w:r>
                              <w:r w:rsidR="008D68E2">
                                <w:rPr>
                                  <w:sz w:val="16"/>
                                  <w:szCs w:val="16"/>
                                </w:rPr>
                                <w:t>%</w:t>
                              </w:r>
                              <w:r>
                                <w:rPr>
                                  <w:sz w:val="16"/>
                                  <w:szCs w:val="16"/>
                                </w:rPr>
                                <w:t xml:space="preserve"> in premenopausal women</w:t>
                              </w:r>
                            </w:p>
                            <w:p w:rsidR="00F013E1" w:rsidRPr="008D68E2" w:rsidRDefault="00F013E1" w:rsidP="00E951CD">
                              <w:pPr>
                                <w:jc w:val="both"/>
                                <w:rPr>
                                  <w:sz w:val="16"/>
                                  <w:szCs w:val="16"/>
                                </w:rPr>
                              </w:pPr>
                              <w:r>
                                <w:rPr>
                                  <w:sz w:val="16"/>
                                  <w:szCs w:val="16"/>
                                </w:rPr>
                                <w:t>&lt;55% in postmenopausal women and 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4419600" y="4391025"/>
                            <a:ext cx="213360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68E2" w:rsidRPr="008D68E2" w:rsidRDefault="008D68E2" w:rsidP="00E951CD">
                              <w:pPr>
                                <w:jc w:val="both"/>
                                <w:rPr>
                                  <w:sz w:val="16"/>
                                  <w:szCs w:val="16"/>
                                </w:rPr>
                              </w:pPr>
                              <w:r>
                                <w:rPr>
                                  <w:sz w:val="16"/>
                                  <w:szCs w:val="16"/>
                                </w:rPr>
                                <w:t>Iron overload unlikely</w:t>
                              </w:r>
                              <w:r w:rsidR="0072553A">
                                <w:rPr>
                                  <w:sz w:val="16"/>
                                  <w:szCs w:val="16"/>
                                </w:rPr>
                                <w:t xml:space="preserve"> but if results do not fit with clinical picture consider repeat in 4-6 weeks.  TS cannot absolutely reliably exclude Hereditary Haemochromatosis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1400175" y="6248400"/>
                            <a:ext cx="186690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7217" w:rsidRDefault="00587217" w:rsidP="00404956">
                              <w:pPr>
                                <w:jc w:val="center"/>
                                <w:rPr>
                                  <w:sz w:val="16"/>
                                  <w:szCs w:val="16"/>
                                </w:rPr>
                              </w:pPr>
                              <w:r>
                                <w:rPr>
                                  <w:sz w:val="16"/>
                                  <w:szCs w:val="16"/>
                                </w:rPr>
                                <w:t>Ferritin &lt;700</w:t>
                              </w:r>
                            </w:p>
                            <w:p w:rsidR="00587217" w:rsidRPr="00587217" w:rsidRDefault="00587217" w:rsidP="00404956">
                              <w:pPr>
                                <w:jc w:val="both"/>
                                <w:rPr>
                                  <w:sz w:val="16"/>
                                  <w:szCs w:val="16"/>
                                </w:rPr>
                              </w:pPr>
                              <w:r>
                                <w:rPr>
                                  <w:sz w:val="16"/>
                                  <w:szCs w:val="16"/>
                                </w:rPr>
                                <w:t>No clinical explanation for a raised ferritin &lt;700</w:t>
                              </w:r>
                              <w:r w:rsidR="00E951CD">
                                <w:rPr>
                                  <w:sz w:val="16"/>
                                  <w:szCs w:val="16"/>
                                </w:rPr>
                                <w:t xml:space="preserve"> (fasting TS &lt;50-55%)</w:t>
                              </w:r>
                              <w:r>
                                <w:rPr>
                                  <w:sz w:val="16"/>
                                  <w:szCs w:val="16"/>
                                </w:rPr>
                                <w:t xml:space="preserve">, either monitor 3-6 monthly in </w:t>
                              </w:r>
                              <w:r w:rsidR="00404956">
                                <w:rPr>
                                  <w:sz w:val="16"/>
                                  <w:szCs w:val="16"/>
                                </w:rPr>
                                <w:t>General Practice and refer if ferritin shows a sustained rise or refer non-urgently to Haematology (or Gastroenterology if liver disease still suspected)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a:off x="3133725" y="43815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a:off x="3133725" y="156210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3171825" y="3152775"/>
                            <a:ext cx="0" cy="104775"/>
                          </a:xfrm>
                          <a:prstGeom prst="line">
                            <a:avLst/>
                          </a:prstGeom>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flipV="1">
                            <a:off x="523875" y="3238500"/>
                            <a:ext cx="571500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6238875" y="325755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523875" y="323850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523875" y="413385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3000375" y="5800725"/>
                            <a:ext cx="3458210" cy="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a:off x="3000375" y="5800725"/>
                            <a:ext cx="0" cy="434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a:off x="6238875" y="4067175"/>
                            <a:ext cx="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6238875" y="4991100"/>
                            <a:ext cx="0" cy="79353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6457950" y="5800725"/>
                            <a:ext cx="8890" cy="434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 name="Text Box 31"/>
                        <wps:cNvSpPr txBox="1"/>
                        <wps:spPr>
                          <a:xfrm>
                            <a:off x="4800600" y="6248400"/>
                            <a:ext cx="182880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51CD" w:rsidRDefault="00E951CD" w:rsidP="00E951CD">
                              <w:pPr>
                                <w:jc w:val="center"/>
                                <w:rPr>
                                  <w:sz w:val="16"/>
                                  <w:szCs w:val="16"/>
                                </w:rPr>
                              </w:pPr>
                              <w:r w:rsidRPr="00E951CD">
                                <w:rPr>
                                  <w:sz w:val="16"/>
                                  <w:szCs w:val="16"/>
                                </w:rPr>
                                <w:t>Ferri</w:t>
                              </w:r>
                              <w:r>
                                <w:rPr>
                                  <w:sz w:val="16"/>
                                  <w:szCs w:val="16"/>
                                </w:rPr>
                                <w:t>tin &gt;700</w:t>
                              </w:r>
                            </w:p>
                            <w:p w:rsidR="00E951CD" w:rsidRPr="00E951CD" w:rsidRDefault="00E951CD" w:rsidP="00E951CD">
                              <w:pPr>
                                <w:jc w:val="both"/>
                                <w:rPr>
                                  <w:sz w:val="16"/>
                                  <w:szCs w:val="16"/>
                                </w:rPr>
                              </w:pPr>
                              <w:r>
                                <w:rPr>
                                  <w:sz w:val="16"/>
                                  <w:szCs w:val="16"/>
                                </w:rPr>
                                <w:t>No clinical explanation for a raised ferritin &gt;700 (fasting TS &lt;50-55%), refer non-urgently to Haematology if Haemochromatosis still suspected or Gastroenterology if liver disease more likely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2" o:spid="_x0000_s1026" style="position:absolute;margin-left:-2.05pt;margin-top:5.95pt;width:522pt;height:573.75pt;z-index:251691008" coordsize="66294,7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">
                <v:shapetype id="_x0000_t202" coordsize="21600,21600" o:spt="202" path="m,l,21600r21600,l21600,xe">
                  <v:stroke joinstyle="miter"/>
                  <v:path gradientshapeok="t" o:connecttype="rect"/>
                </v:shapetype>
                <v:shape id="Text Box 1" o:spid="_x0000_s1027" type="#_x0000_t202" style="position:absolute;left:23717;width:16002;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6beb4A&#10;AADaAAAADwAAAGRycy9kb3ducmV2LnhtbERP24rCMBB9F/Yfwgi+yJq6gi7VKLIgLCiIt/ehGZti&#10;MylJtPXvN8KCT8PhXGex6mwtHuRD5VjBeJSBIC6crrhUcD5tPr9BhIissXZMCp4UYLX86C0w167l&#10;Az2OsRQphEOOCkyMTS5lKAxZDCPXECfu6rzFmKAvpfbYpnBby68sm0qLFacGgw39GCpux7tV4E13&#10;4fXwsn26PbWTyWwX7qedUoN+t56DiNTFt/jf/avTfHi98rpy+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m3m+AAAA2gAAAA8AAAAAAAAAAAAAAAAAmAIAAGRycy9kb3ducmV2&#10;LnhtbFBLBQYAAAAABAAEAPUAAACDAwAAAAA=&#10;" fillcolor="white [3201]" strokecolor="black [3200]" strokeweight=".5pt">
                  <v:textbox>
                    <w:txbxContent>
                      <w:p w:rsidR="006A0723" w:rsidRPr="006F2ACC" w:rsidRDefault="006A0723" w:rsidP="006A0723">
                        <w:pPr>
                          <w:jc w:val="center"/>
                          <w:rPr>
                            <w:sz w:val="16"/>
                            <w:szCs w:val="16"/>
                          </w:rPr>
                        </w:pPr>
                        <w:r w:rsidRPr="006F2ACC">
                          <w:rPr>
                            <w:sz w:val="16"/>
                            <w:szCs w:val="16"/>
                          </w:rPr>
                          <w:t>Raised Ferritin</w:t>
                        </w:r>
                      </w:p>
                    </w:txbxContent>
                  </v:textbox>
                </v:shape>
                <v:shape id="Text Box 2" o:spid="_x0000_s1028" type="#_x0000_t202" style="position:absolute;left:13430;top:7334;width:39148;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VCKcEA&#10;AADaAAAADwAAAGRycy9kb3ducmV2LnhtbESPQYvCMBSE74L/ITzBm6bqUqRrFFEEVw9i3b0/mrdN&#10;sXkpTdTuvzcLgsdhZr5hFqvO1uJOra8cK5iMExDEhdMVlwq+L7vRHIQPyBprx6Tgjzyslv3eAjPt&#10;Hnymex5KESHsM1RgQmgyKX1hyKIfu4Y4er+utRiibEupW3xEuK3lNElSabHiuGCwoY2h4prfrILT&#10;8VDtUloX5mtL4SNNef9znSk1HHTrTxCBuvAOv9p7rWAK/1fiDZ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1QinBAAAA2gAAAA8AAAAAAAAAAAAAAAAAmAIAAGRycy9kb3du&#10;cmV2LnhtbFBLBQYAAAAABAAEAPUAAACGAwAAAAA=&#10;" fillcolor="white [3201]" strokecolor="black [3200]" strokeweight=".5pt">
                  <v:textbox>
                    <w:txbxContent>
                      <w:p w:rsidR="006A0723" w:rsidRPr="006F2ACC" w:rsidRDefault="006A0723" w:rsidP="006A0723">
                        <w:pPr>
                          <w:jc w:val="center"/>
                          <w:rPr>
                            <w:b/>
                            <w:sz w:val="20"/>
                            <w:szCs w:val="20"/>
                          </w:rPr>
                        </w:pPr>
                        <w:r w:rsidRPr="006F2ACC">
                          <w:rPr>
                            <w:b/>
                            <w:sz w:val="20"/>
                            <w:szCs w:val="20"/>
                          </w:rPr>
                          <w:t>Possible Causes</w:t>
                        </w:r>
                      </w:p>
                      <w:p w:rsidR="006A0723" w:rsidRPr="006F2ACC" w:rsidRDefault="006A0723" w:rsidP="006A0723">
                        <w:pPr>
                          <w:pStyle w:val="ListParagraph"/>
                          <w:numPr>
                            <w:ilvl w:val="0"/>
                            <w:numId w:val="1"/>
                          </w:numPr>
                          <w:ind w:left="426" w:hanging="426"/>
                          <w:jc w:val="both"/>
                          <w:rPr>
                            <w:b/>
                            <w:sz w:val="16"/>
                            <w:szCs w:val="16"/>
                          </w:rPr>
                        </w:pPr>
                        <w:r w:rsidRPr="006F2ACC">
                          <w:rPr>
                            <w:sz w:val="16"/>
                            <w:szCs w:val="16"/>
                          </w:rPr>
                          <w:t>Acute phase response</w:t>
                        </w:r>
                        <w:r w:rsidR="006F2ACC" w:rsidRPr="006F2ACC">
                          <w:rPr>
                            <w:sz w:val="16"/>
                            <w:szCs w:val="16"/>
                          </w:rPr>
                          <w:t xml:space="preserve"> (inflammation, infection, malignancy)</w:t>
                        </w:r>
                      </w:p>
                      <w:p w:rsidR="006F2ACC" w:rsidRPr="006F2ACC" w:rsidRDefault="006F2ACC" w:rsidP="006A0723">
                        <w:pPr>
                          <w:pStyle w:val="ListParagraph"/>
                          <w:numPr>
                            <w:ilvl w:val="0"/>
                            <w:numId w:val="1"/>
                          </w:numPr>
                          <w:ind w:left="426" w:hanging="426"/>
                          <w:jc w:val="both"/>
                          <w:rPr>
                            <w:b/>
                            <w:sz w:val="16"/>
                            <w:szCs w:val="16"/>
                          </w:rPr>
                        </w:pPr>
                        <w:r w:rsidRPr="006F2ACC">
                          <w:rPr>
                            <w:sz w:val="16"/>
                            <w:szCs w:val="16"/>
                          </w:rPr>
                          <w:t>Alcohol</w:t>
                        </w:r>
                      </w:p>
                      <w:p w:rsidR="006F2ACC" w:rsidRPr="006F2ACC" w:rsidRDefault="006F2ACC" w:rsidP="006A0723">
                        <w:pPr>
                          <w:pStyle w:val="ListParagraph"/>
                          <w:numPr>
                            <w:ilvl w:val="0"/>
                            <w:numId w:val="1"/>
                          </w:numPr>
                          <w:ind w:left="426" w:hanging="426"/>
                          <w:jc w:val="both"/>
                          <w:rPr>
                            <w:b/>
                            <w:sz w:val="16"/>
                            <w:szCs w:val="16"/>
                          </w:rPr>
                        </w:pPr>
                        <w:r w:rsidRPr="006F2ACC">
                          <w:rPr>
                            <w:sz w:val="16"/>
                            <w:szCs w:val="16"/>
                          </w:rPr>
                          <w:t xml:space="preserve">Hepatic dysfunction/disease </w:t>
                        </w:r>
                      </w:p>
                      <w:p w:rsidR="006F2ACC" w:rsidRPr="006F2ACC" w:rsidRDefault="006F2ACC" w:rsidP="006A0723">
                        <w:pPr>
                          <w:pStyle w:val="ListParagraph"/>
                          <w:numPr>
                            <w:ilvl w:val="0"/>
                            <w:numId w:val="1"/>
                          </w:numPr>
                          <w:ind w:left="426" w:hanging="426"/>
                          <w:jc w:val="both"/>
                          <w:rPr>
                            <w:b/>
                            <w:sz w:val="16"/>
                            <w:szCs w:val="16"/>
                          </w:rPr>
                        </w:pPr>
                        <w:r w:rsidRPr="006F2ACC">
                          <w:rPr>
                            <w:sz w:val="16"/>
                            <w:szCs w:val="16"/>
                          </w:rPr>
                          <w:t>True Iron Overload (Hereditary Haemochromatosis, ineffective erythropoiesis, multiple transfusion, iatrogenic</w:t>
                        </w:r>
                        <w:r w:rsidR="00BE51CE">
                          <w:rPr>
                            <w:sz w:val="16"/>
                            <w:szCs w:val="16"/>
                          </w:rPr>
                          <w:t>)</w:t>
                        </w:r>
                      </w:p>
                    </w:txbxContent>
                  </v:textbox>
                </v:shape>
                <v:shape id="Text Box 3" o:spid="_x0000_s1029" type="#_x0000_t202" style="position:absolute;left:3619;top:19240;width:61055;height:10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nssIA&#10;AADaAAAADwAAAGRycy9kb3ducmV2LnhtbESPzWrDMBCE74W+g9hCbo3cOpjgRDGmJZC0h5K/+2Jt&#10;LBNrZSzFcd6+ChR6HGbmG2ZZjLYVA/W+cazgbZqAIK6cbrhWcDysX+cgfEDW2DomBXfyUKyen5aY&#10;a3fjHQ37UIsIYZ+jAhNCl0vpK0MW/dR1xNE7u95iiLKvpe7xFuG2le9JkkmLDccFgx19GKou+6tV&#10;8PP91awzKiuz/aQwyzLenC6pUpOXsVyACDSG//Bfe6MVpPC4Em+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eeeywgAAANoAAAAPAAAAAAAAAAAAAAAAAJgCAABkcnMvZG93&#10;bnJldi54bWxQSwUGAAAAAAQABAD1AAAAhwMAAAAA&#10;" fillcolor="white [3201]" strokecolor="black [3200]" strokeweight=".5pt">
                  <v:textbox>
                    <w:txbxContent>
                      <w:p w:rsidR="006F2ACC" w:rsidRDefault="006F2ACC" w:rsidP="006F2ACC">
                        <w:pPr>
                          <w:jc w:val="center"/>
                          <w:rPr>
                            <w:b/>
                          </w:rPr>
                        </w:pPr>
                        <w:r>
                          <w:rPr>
                            <w:b/>
                          </w:rPr>
                          <w:t>Tests</w:t>
                        </w:r>
                      </w:p>
                      <w:p w:rsidR="00CB3745" w:rsidRDefault="00CB3745" w:rsidP="006F2ACC">
                        <w:pPr>
                          <w:pStyle w:val="ListParagraph"/>
                          <w:numPr>
                            <w:ilvl w:val="0"/>
                            <w:numId w:val="2"/>
                          </w:numPr>
                          <w:ind w:left="426" w:hanging="426"/>
                          <w:jc w:val="both"/>
                          <w:rPr>
                            <w:sz w:val="16"/>
                            <w:szCs w:val="16"/>
                          </w:rPr>
                        </w:pPr>
                        <w:r>
                          <w:rPr>
                            <w:sz w:val="16"/>
                            <w:szCs w:val="16"/>
                          </w:rPr>
                          <w:t>Exclude alcohol as a cause (if suspected then 6 months abstinence required and then retest)</w:t>
                        </w:r>
                      </w:p>
                      <w:p w:rsidR="00317432" w:rsidRDefault="00317432" w:rsidP="006F2ACC">
                        <w:pPr>
                          <w:pStyle w:val="ListParagraph"/>
                          <w:numPr>
                            <w:ilvl w:val="0"/>
                            <w:numId w:val="2"/>
                          </w:numPr>
                          <w:ind w:left="426" w:hanging="426"/>
                          <w:jc w:val="both"/>
                          <w:rPr>
                            <w:sz w:val="16"/>
                            <w:szCs w:val="16"/>
                          </w:rPr>
                        </w:pPr>
                        <w:r>
                          <w:rPr>
                            <w:sz w:val="16"/>
                            <w:szCs w:val="16"/>
                          </w:rPr>
                          <w:t>History/examination/investigations to exclude infection/inflammatory conditions/malignancy (to include CRP)</w:t>
                        </w:r>
                      </w:p>
                      <w:p w:rsidR="00317432" w:rsidRDefault="00317432" w:rsidP="006F2ACC">
                        <w:pPr>
                          <w:pStyle w:val="ListParagraph"/>
                          <w:numPr>
                            <w:ilvl w:val="0"/>
                            <w:numId w:val="2"/>
                          </w:numPr>
                          <w:ind w:left="426" w:hanging="426"/>
                          <w:jc w:val="both"/>
                          <w:rPr>
                            <w:sz w:val="16"/>
                            <w:szCs w:val="16"/>
                          </w:rPr>
                        </w:pPr>
                        <w:r>
                          <w:rPr>
                            <w:sz w:val="16"/>
                            <w:szCs w:val="16"/>
                          </w:rPr>
                          <w:t>Consider non-invasive liver screen: bloods/liver USS/consider testing serum lipids</w:t>
                        </w:r>
                      </w:p>
                      <w:p w:rsidR="00317432" w:rsidRDefault="00317432" w:rsidP="006F2ACC">
                        <w:pPr>
                          <w:pStyle w:val="ListParagraph"/>
                          <w:numPr>
                            <w:ilvl w:val="0"/>
                            <w:numId w:val="2"/>
                          </w:numPr>
                          <w:ind w:left="426" w:hanging="426"/>
                          <w:jc w:val="both"/>
                          <w:rPr>
                            <w:sz w:val="16"/>
                            <w:szCs w:val="16"/>
                          </w:rPr>
                        </w:pPr>
                        <w:r>
                          <w:rPr>
                            <w:sz w:val="16"/>
                            <w:szCs w:val="16"/>
                          </w:rPr>
                          <w:t>? Family history of Hereditary Haemochromatosis</w:t>
                        </w:r>
                      </w:p>
                      <w:p w:rsidR="00317432" w:rsidRPr="006F2ACC" w:rsidRDefault="00317432" w:rsidP="006F2ACC">
                        <w:pPr>
                          <w:pStyle w:val="ListParagraph"/>
                          <w:numPr>
                            <w:ilvl w:val="0"/>
                            <w:numId w:val="2"/>
                          </w:numPr>
                          <w:ind w:left="426" w:hanging="426"/>
                          <w:jc w:val="both"/>
                          <w:rPr>
                            <w:sz w:val="16"/>
                            <w:szCs w:val="16"/>
                          </w:rPr>
                        </w:pPr>
                        <w:r>
                          <w:rPr>
                            <w:sz w:val="16"/>
                            <w:szCs w:val="16"/>
                          </w:rPr>
                          <w:t>Fasting Transferrin saturation</w:t>
                        </w:r>
                      </w:p>
                    </w:txbxContent>
                  </v:textbox>
                </v:shape>
                <v:shape id="Text Box 4" o:spid="_x0000_s1030" type="#_x0000_t202" style="position:absolute;left:857;top:35337;width:18955;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hiMQA&#10;AADaAAAADwAAAGRycy9kb3ducmV2LnhtbESPW2vCQBSE3wX/w3IE33RTaaVJXUWkgo9eSi9vp9lj&#10;Epo9G7JHTfvru4Lg4zAz3zCzRedqdaY2VJ4NPIwTUMS5txUXBt4O69EzqCDIFmvPZOCXAizm/d4M&#10;M+svvKPzXgoVIRwyNFCKNJnWIS/JYRj7hjh6R986lCjbQtsWLxHuaj1Jkql2WHFcKLGhVUn5z/7k&#10;DEyOr7L9/tilp8+v6il9J1lv/1JjhoNu+QJKqJN7+NbeWAOPcL0Sb4C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1YYjEAAAA2gAAAA8AAAAAAAAAAAAAAAAAmAIAAGRycy9k&#10;b3ducmV2LnhtbFBLBQYAAAAABAAEAPUAAACJAwAAAAA=&#10;" fillcolor="white [3201]" strokecolor="black [3213]" strokeweight=".5pt">
                  <v:textbox>
                    <w:txbxContent>
                      <w:p w:rsidR="006F2ACC" w:rsidRDefault="0085568E" w:rsidP="00E951CD">
                        <w:pPr>
                          <w:jc w:val="both"/>
                          <w:rPr>
                            <w:rFonts w:cs="Arial"/>
                            <w:sz w:val="16"/>
                            <w:szCs w:val="16"/>
                          </w:rPr>
                        </w:pPr>
                        <w:r>
                          <w:rPr>
                            <w:sz w:val="16"/>
                            <w:szCs w:val="16"/>
                          </w:rPr>
                          <w:t xml:space="preserve">Fasting </w:t>
                        </w:r>
                        <w:r w:rsidR="006F2ACC" w:rsidRPr="006F2ACC">
                          <w:rPr>
                            <w:sz w:val="16"/>
                            <w:szCs w:val="16"/>
                          </w:rPr>
                          <w:t xml:space="preserve">Transferrin saturation </w:t>
                        </w:r>
                        <w:r>
                          <w:rPr>
                            <w:sz w:val="16"/>
                            <w:szCs w:val="16"/>
                          </w:rPr>
                          <w:t xml:space="preserve">(TS) </w:t>
                        </w:r>
                      </w:p>
                      <w:p w:rsidR="0085568E" w:rsidRDefault="0085568E" w:rsidP="00E951CD">
                        <w:pPr>
                          <w:jc w:val="both"/>
                          <w:rPr>
                            <w:rFonts w:cs="Arial"/>
                            <w:sz w:val="16"/>
                            <w:szCs w:val="16"/>
                          </w:rPr>
                        </w:pPr>
                        <w:r>
                          <w:rPr>
                            <w:rFonts w:cs="Arial"/>
                            <w:sz w:val="16"/>
                            <w:szCs w:val="16"/>
                          </w:rPr>
                          <w:t>&gt;50% in premenopausal women or</w:t>
                        </w:r>
                      </w:p>
                      <w:p w:rsidR="0085568E" w:rsidRPr="006F2ACC" w:rsidRDefault="0085568E" w:rsidP="00E951CD">
                        <w:pPr>
                          <w:jc w:val="both"/>
                          <w:rPr>
                            <w:sz w:val="16"/>
                            <w:szCs w:val="16"/>
                          </w:rPr>
                        </w:pPr>
                        <w:r>
                          <w:rPr>
                            <w:rFonts w:cs="Arial"/>
                            <w:sz w:val="16"/>
                            <w:szCs w:val="16"/>
                          </w:rPr>
                          <w:t>&gt;55% in postmenopausal women and men suggests iron overload</w:t>
                        </w:r>
                      </w:p>
                    </w:txbxContent>
                  </v:textbox>
                </v:shape>
                <v:shape id="Text Box 6" o:spid="_x0000_s1031" type="#_x0000_t202" style="position:absolute;top:43910;width:25527;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AhMMA&#10;AADaAAAADwAAAGRycy9kb3ducmV2LnhtbESPwWrDMBBE74X8g9hALiWR44MpbpRQCiFJL6ZOCz0u&#10;1sYysVZGUmL376tCocdhZt4wm91ke3EnHzrHCtarDARx43THrYKP8375BCJEZI29Y1LwTQF229nD&#10;BkvtRn6nex1bkSAcSlRgYhxKKUNjyGJYuYE4eRfnLcYkfSu1xzHBbS/zLCukxY7TgsGBXg011/pm&#10;FfCU+1iYt3B2w+F6OlT0VX0+KrWYTy/PICJN8T/81z5qBQX8Xkk3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QAhMMAAADaAAAADwAAAAAAAAAAAAAAAACYAgAAZHJzL2Rv&#10;d25yZXYueG1sUEsFBgAAAAAEAAQA9QAAAIgDAAAAAA==&#10;" fillcolor="white [3201]" strokecolor="black [3213]" strokeweight=".5pt">
                  <v:textbox>
                    <w:txbxContent>
                      <w:p w:rsidR="00411EE7" w:rsidRDefault="00411EE7" w:rsidP="00E951CD">
                        <w:pPr>
                          <w:jc w:val="both"/>
                          <w:rPr>
                            <w:sz w:val="16"/>
                            <w:szCs w:val="16"/>
                          </w:rPr>
                        </w:pPr>
                        <w:r>
                          <w:rPr>
                            <w:sz w:val="16"/>
                            <w:szCs w:val="16"/>
                          </w:rPr>
                          <w:t xml:space="preserve">Refer </w:t>
                        </w:r>
                        <w:r w:rsidR="0085568E">
                          <w:rPr>
                            <w:sz w:val="16"/>
                            <w:szCs w:val="16"/>
                          </w:rPr>
                          <w:t>non</w:t>
                        </w:r>
                        <w:r w:rsidR="00E951CD">
                          <w:rPr>
                            <w:sz w:val="16"/>
                            <w:szCs w:val="16"/>
                          </w:rPr>
                          <w:t>-</w:t>
                        </w:r>
                        <w:r w:rsidR="0085568E">
                          <w:rPr>
                            <w:sz w:val="16"/>
                            <w:szCs w:val="16"/>
                          </w:rPr>
                          <w:t xml:space="preserve">urgently to Haematology </w:t>
                        </w:r>
                        <w:r w:rsidR="00844E67">
                          <w:rPr>
                            <w:sz w:val="16"/>
                            <w:szCs w:val="16"/>
                          </w:rPr>
                          <w:t xml:space="preserve">for investigation </w:t>
                        </w:r>
                        <w:r w:rsidR="00844E67">
                          <w:rPr>
                            <w:sz w:val="16"/>
                            <w:szCs w:val="16"/>
                          </w:rPr>
                          <w:t>for</w:t>
                        </w:r>
                        <w:bookmarkStart w:id="1" w:name="_GoBack"/>
                        <w:bookmarkEnd w:id="1"/>
                        <w:r>
                          <w:rPr>
                            <w:sz w:val="16"/>
                            <w:szCs w:val="16"/>
                          </w:rPr>
                          <w:t xml:space="preserve"> Hereditary </w:t>
                        </w:r>
                        <w:r w:rsidR="0085568E">
                          <w:rPr>
                            <w:sz w:val="16"/>
                            <w:szCs w:val="16"/>
                          </w:rPr>
                          <w:t>H</w:t>
                        </w:r>
                        <w:r>
                          <w:rPr>
                            <w:sz w:val="16"/>
                            <w:szCs w:val="16"/>
                          </w:rPr>
                          <w:t xml:space="preserve">aemochromatosis.  </w:t>
                        </w:r>
                      </w:p>
                      <w:p w:rsidR="00F013E1" w:rsidRPr="00411EE7" w:rsidRDefault="00F013E1" w:rsidP="00E951CD">
                        <w:pPr>
                          <w:jc w:val="both"/>
                          <w:rPr>
                            <w:sz w:val="16"/>
                            <w:szCs w:val="16"/>
                          </w:rPr>
                        </w:pPr>
                        <w:r>
                          <w:rPr>
                            <w:sz w:val="16"/>
                            <w:szCs w:val="16"/>
                          </w:rPr>
                          <w:t>If Haemochromatosis is thought to be likely (raised fasting TS and/or family history positive) and patient consents, then Haemochromatosis gene mutation studies (5 ml EDTA sample) can be sent from General Practice to the Haematology laboratory at HDFT so that the result will be available at the first clinic appointment</w:t>
                        </w:r>
                      </w:p>
                    </w:txbxContent>
                  </v:textbox>
                </v:shape>
                <v:shape id="Text Box 7" o:spid="_x0000_s1032" type="#_x0000_t202" style="position:absolute;left:47529;top:35337;width:18765;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qEIMMA&#10;AADaAAAADwAAAGRycy9kb3ducmV2LnhtbESPQWsCMRSE74X+h/AKvWlWKa5sjdJKRaUnV9vzY/O6&#10;G9y8rEmq6783BaHHYWa+YWaL3rbiTD4YxwpGwwwEceW04VrBYb8aTEGEiKyxdUwKrhRgMX98mGGh&#10;3YV3dC5jLRKEQ4EKmhi7QspQNWQxDF1HnLwf5y3GJH0ttcdLgttWjrNsIi0aTgsNdrRsqDqWv1bB&#10;6cvvX0bm43vVbktzyo+f72vMlXp+6t9eQUTq43/43t5oBTn8XUk3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qEIMMAAADaAAAADwAAAAAAAAAAAAAAAACYAgAAZHJzL2Rv&#10;d25yZXYueG1sUEsFBgAAAAAEAAQA9QAAAIgDAAAAAA==&#10;" fillcolor="white [3201]" strokeweight=".5pt">
                  <v:textbox>
                    <w:txbxContent>
                      <w:p w:rsidR="008D68E2" w:rsidRDefault="00F013E1" w:rsidP="00E951CD">
                        <w:pPr>
                          <w:jc w:val="both"/>
                          <w:rPr>
                            <w:sz w:val="16"/>
                            <w:szCs w:val="16"/>
                          </w:rPr>
                        </w:pPr>
                        <w:r>
                          <w:rPr>
                            <w:sz w:val="16"/>
                            <w:szCs w:val="16"/>
                          </w:rPr>
                          <w:t xml:space="preserve">Fasting </w:t>
                        </w:r>
                        <w:r w:rsidR="008D68E2">
                          <w:rPr>
                            <w:sz w:val="16"/>
                            <w:szCs w:val="16"/>
                          </w:rPr>
                          <w:t>Transferrin</w:t>
                        </w:r>
                        <w:r>
                          <w:rPr>
                            <w:sz w:val="16"/>
                            <w:szCs w:val="16"/>
                          </w:rPr>
                          <w:t xml:space="preserve"> </w:t>
                        </w:r>
                        <w:r w:rsidR="008D68E2">
                          <w:rPr>
                            <w:sz w:val="16"/>
                            <w:szCs w:val="16"/>
                          </w:rPr>
                          <w:t>Saturation</w:t>
                        </w:r>
                        <w:r w:rsidR="00844E67">
                          <w:rPr>
                            <w:sz w:val="16"/>
                            <w:szCs w:val="16"/>
                          </w:rPr>
                          <w:t xml:space="preserve"> (TS)</w:t>
                        </w:r>
                        <w:r w:rsidR="008D68E2">
                          <w:rPr>
                            <w:sz w:val="16"/>
                            <w:szCs w:val="16"/>
                          </w:rPr>
                          <w:t xml:space="preserve"> </w:t>
                        </w:r>
                        <w:r>
                          <w:rPr>
                            <w:sz w:val="16"/>
                            <w:szCs w:val="16"/>
                          </w:rPr>
                          <w:t>&lt;50</w:t>
                        </w:r>
                        <w:r w:rsidR="008D68E2">
                          <w:rPr>
                            <w:sz w:val="16"/>
                            <w:szCs w:val="16"/>
                          </w:rPr>
                          <w:t>%</w:t>
                        </w:r>
                        <w:r>
                          <w:rPr>
                            <w:sz w:val="16"/>
                            <w:szCs w:val="16"/>
                          </w:rPr>
                          <w:t xml:space="preserve"> in premenopausal women</w:t>
                        </w:r>
                      </w:p>
                      <w:p w:rsidR="00F013E1" w:rsidRPr="008D68E2" w:rsidRDefault="00F013E1" w:rsidP="00E951CD">
                        <w:pPr>
                          <w:jc w:val="both"/>
                          <w:rPr>
                            <w:sz w:val="16"/>
                            <w:szCs w:val="16"/>
                          </w:rPr>
                        </w:pPr>
                        <w:r>
                          <w:rPr>
                            <w:sz w:val="16"/>
                            <w:szCs w:val="16"/>
                          </w:rPr>
                          <w:t>&lt;55% in postmenopausal women and men</w:t>
                        </w:r>
                      </w:p>
                    </w:txbxContent>
                  </v:textbox>
                </v:shape>
                <v:shape id="Text Box 8" o:spid="_x0000_s1033" type="#_x0000_t202" style="position:absolute;left:44196;top:43910;width:21336;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QUsEA&#10;AADaAAAADwAAAGRycy9kb3ducmV2LnhtbERPW2vCMBR+H/gfwhF8m6lD5qjGojLZxp5WL8+H5tiG&#10;Nic1ybT798vDYI8f331VDLYTN/LBOFYwm2YgiCunDdcKjof94wuIEJE1do5JwQ8FKNajhxXm2t35&#10;i25lrEUK4ZCjgibGPpcyVA1ZDFPXEyfu4rzFmKCvpfZ4T+G2k09Z9iwtGk4NDfa0a6hqy2+r4Hry&#10;h/nMvJ733Udprov2c/uGC6Um42GzBBFpiP/iP/e7VpC2pivpBs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VEFLBAAAA2gAAAA8AAAAAAAAAAAAAAAAAmAIAAGRycy9kb3du&#10;cmV2LnhtbFBLBQYAAAAABAAEAPUAAACGAwAAAAA=&#10;" fillcolor="white [3201]" strokeweight=".5pt">
                  <v:textbox>
                    <w:txbxContent>
                      <w:p w:rsidR="008D68E2" w:rsidRPr="008D68E2" w:rsidRDefault="008D68E2" w:rsidP="00E951CD">
                        <w:pPr>
                          <w:jc w:val="both"/>
                          <w:rPr>
                            <w:sz w:val="16"/>
                            <w:szCs w:val="16"/>
                          </w:rPr>
                        </w:pPr>
                        <w:r>
                          <w:rPr>
                            <w:sz w:val="16"/>
                            <w:szCs w:val="16"/>
                          </w:rPr>
                          <w:t>Iron overload unlikely</w:t>
                        </w:r>
                        <w:r w:rsidR="0072553A">
                          <w:rPr>
                            <w:sz w:val="16"/>
                            <w:szCs w:val="16"/>
                          </w:rPr>
                          <w:t xml:space="preserve"> but if results do not fit with clinical picture consider repeat in 4-6 weeks.  TS cannot absolutely reliably exclude Hereditary Haemochromatosis</w:t>
                        </w:r>
                      </w:p>
                    </w:txbxContent>
                  </v:textbox>
                </v:shape>
                <v:shape id="Text Box 10" o:spid="_x0000_s1034" type="#_x0000_t202" style="position:absolute;left:14001;top:62484;width:18669;height:10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xLEsQA&#10;AADbAAAADwAAAGRycy9kb3ducmV2LnhtbESPQU8CMRCF7yT+h2ZMvEkXY4SsFKJGgsQTi3qebMfd&#10;hu10aQus/945kHCbyXvz3jfz5eA7daKYXGADk3EBirgO1nFj4Gu3up+BShnZYheYDPxRguXiZjTH&#10;0oYzb+lU5UZJCKcSDbQ596XWqW7JYxqHnli03xA9Zlljo23Es4T7Tj8UxZP26FgaWuzpraV6Xx29&#10;gcN33D1O3PvPqttU7jDdf76ucWrM3e3w8gwq05Cv5sv1hxV8oZd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8SxLEAAAA2wAAAA8AAAAAAAAAAAAAAAAAmAIAAGRycy9k&#10;b3ducmV2LnhtbFBLBQYAAAAABAAEAPUAAACJAwAAAAA=&#10;" fillcolor="white [3201]" strokeweight=".5pt">
                  <v:textbox>
                    <w:txbxContent>
                      <w:p w:rsidR="00587217" w:rsidRDefault="00587217" w:rsidP="00404956">
                        <w:pPr>
                          <w:jc w:val="center"/>
                          <w:rPr>
                            <w:sz w:val="16"/>
                            <w:szCs w:val="16"/>
                          </w:rPr>
                        </w:pPr>
                        <w:r>
                          <w:rPr>
                            <w:sz w:val="16"/>
                            <w:szCs w:val="16"/>
                          </w:rPr>
                          <w:t>Ferritin &lt;700</w:t>
                        </w:r>
                      </w:p>
                      <w:p w:rsidR="00587217" w:rsidRPr="00587217" w:rsidRDefault="00587217" w:rsidP="00404956">
                        <w:pPr>
                          <w:jc w:val="both"/>
                          <w:rPr>
                            <w:sz w:val="16"/>
                            <w:szCs w:val="16"/>
                          </w:rPr>
                        </w:pPr>
                        <w:r>
                          <w:rPr>
                            <w:sz w:val="16"/>
                            <w:szCs w:val="16"/>
                          </w:rPr>
                          <w:t>No clinical explanation for a raised ferritin &lt;700</w:t>
                        </w:r>
                        <w:r w:rsidR="00E951CD">
                          <w:rPr>
                            <w:sz w:val="16"/>
                            <w:szCs w:val="16"/>
                          </w:rPr>
                          <w:t xml:space="preserve"> (fasting TS &lt;50-55%)</w:t>
                        </w:r>
                        <w:r>
                          <w:rPr>
                            <w:sz w:val="16"/>
                            <w:szCs w:val="16"/>
                          </w:rPr>
                          <w:t xml:space="preserve">, either monitor 3-6 monthly in </w:t>
                        </w:r>
                        <w:r w:rsidR="00404956">
                          <w:rPr>
                            <w:sz w:val="16"/>
                            <w:szCs w:val="16"/>
                          </w:rPr>
                          <w:t>General Practice and refer if ferritin shows a sustained rise or refer non-urgently to Haematology (or Gastroenterology if liver disease still suspected)</w:t>
                        </w:r>
                      </w:p>
                    </w:txbxContent>
                  </v:textbox>
                </v:shape>
                <v:shapetype id="_x0000_t32" coordsize="21600,21600" o:spt="32" o:oned="t" path="m,l21600,21600e" filled="f">
                  <v:path arrowok="t" fillok="f" o:connecttype="none"/>
                  <o:lock v:ext="edit" shapetype="t"/>
                </v:shapetype>
                <v:shape id="Straight Arrow Connector 12" o:spid="_x0000_s1035" type="#_x0000_t32" style="position:absolute;left:31337;top:4381;width:0;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pLXr0AAADbAAAADwAAAGRycy9kb3ducmV2LnhtbERPvQrCMBDeBd8hnOCmqQ6i1SgiFBx0&#10;8A/XoznbYnOpTaz17Y0guN3H93uLVWtK0VDtCssKRsMIBHFqdcGZgvMpGUxBOI+ssbRMCt7kYLXs&#10;dhYYa/viAzVHn4kQwi5GBbn3VSylS3My6Ia2Ig7czdYGfYB1JnWNrxBuSjmOook0WHBoyLGiTU7p&#10;/fg0CiI3SR6b033fnDN/2F1lsn3PLkr1e+16DsJT6//in3urw/wx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LqS169AAAA2wAAAA8AAAAAAAAAAAAAAAAAoQIA&#10;AGRycy9kb3ducmV2LnhtbFBLBQYAAAAABAAEAPkAAACLAwAAAAA=&#10;" strokecolor="black [3040]">
                  <v:stroke endarrow="open"/>
                </v:shape>
                <v:shape id="Straight Arrow Connector 13" o:spid="_x0000_s1036" type="#_x0000_t32" style="position:absolute;left:31337;top:15621;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uxcIAAADbAAAADwAAAGRycy9kb3ducmV2LnhtbERPPWvDMBDdA/kP4gLdErkp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buxcIAAADbAAAADwAAAAAAAAAAAAAA&#10;AAChAgAAZHJzL2Rvd25yZXYueG1sUEsFBgAAAAAEAAQA+QAAAJADAAAAAA==&#10;" strokecolor="black [3040]">
                  <v:stroke endarrow="open"/>
                </v:shape>
                <v:line id="Straight Connector 14" o:spid="_x0000_s1037" style="position:absolute;visibility:visible;mso-wrap-style:square" from="31718,31527" to="31718,3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Lf8IAAADbAAAADwAAAGRycy9kb3ducmV2LnhtbESPT2sCMRDF74LfIYzQW81qW9HVKCJK&#10;Sz357z5sxt3FzWRNoqbfvikUvM3w3vvNm9kimkbcyfnasoJBPwNBXFhdc6ngeNi8jkH4gKyxsUwK&#10;fsjDYt7tzDDX9sE7uu9DKRKEfY4KqhDaXEpfVGTQ921LnLSzdQZDWl0ptcNHgptGDrNsJA3WnC5U&#10;2NKqouKyv5lEGZyuRn5eJnj6dlu3fhvFj3hV6qUXl1MQgWJ4mv/TXzrVf4e/X9IAcv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Lf8IAAADbAAAADwAAAAAAAAAAAAAA&#10;AAChAgAAZHJzL2Rvd25yZXYueG1sUEsFBgAAAAAEAAQA+QAAAJADAAAAAA==&#10;" strokecolor="black [3040]"/>
                <v:line id="Straight Connector 15" o:spid="_x0000_s1038" style="position:absolute;flip:y;visibility:visible;mso-wrap-style:square" from="5238,32385" to="62388,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2EN8AAAADbAAAADwAAAGRycy9kb3ducmV2LnhtbERPS4vCMBC+L/gfwgje1lTBVapRRBBE&#10;UXwevA3N9IHNpDTRdv+9WVjwNh/fc2aL1pTiRbUrLCsY9CMQxInVBWcKrpf19wSE88gaS8uk4Jcc&#10;LOadrxnG2jZ8otfZZyKEsItRQe59FUvpkpwMur6tiAOX2tqgD7DOpK6xCeGmlMMo+pEGCw4NOVa0&#10;yil5nJ9GQeqe1ep+0z4db/enfbrLDtgclep12+UUhKfWf8T/7o0O80fw90s4QM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hNhDfAAAAA2wAAAA8AAAAAAAAAAAAAAAAA&#10;oQIAAGRycy9kb3ducmV2LnhtbFBLBQYAAAAABAAEAPkAAACOAwAAAAA=&#10;" strokecolor="black [3040]"/>
                <v:shape id="Straight Arrow Connector 17" o:spid="_x0000_s1039" type="#_x0000_t32" style="position:absolute;left:62388;top:32575;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3oxsEAAADbAAAADwAAAGRycy9kb3ducmV2LnhtbERPTYvCMBC9C/sfwizsTVM9qNs1FREK&#10;HtyDWtnr0My2pc2kNrHWf28Ewds83ues1oNpRE+dqywrmE4iEMS51RUXCrJTOl6CcB5ZY2OZFNzJ&#10;wTr5GK0w1vbGB+qPvhAhhF2MCkrv21hKl5dk0E1sSxy4f9sZ9AF2hdQd3kK4aeQsiubSYMWhocSW&#10;tiXl9fFqFERunl62p/q3zwp/2P/JdHf/Piv19TlsfkB4Gvxb/HLvdJi/gOcv4QCZ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nejGwQAAANsAAAAPAAAAAAAAAAAAAAAA&#10;AKECAABkcnMvZG93bnJldi54bWxQSwUGAAAAAAQABAD5AAAAjwMAAAAA&#10;" strokecolor="black [3040]">
                  <v:stroke endarrow="open"/>
                </v:shape>
                <v:shape id="Straight Arrow Connector 19" o:spid="_x0000_s1040" type="#_x0000_t32" style="position:absolute;left:5238;top:32385;width:0;height:2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7ZL70AAADbAAAADwAAAGRycy9kb3ducmV2LnhtbERPvQrCMBDeBd8hnOCmqQ6i1SgiFBx0&#10;8A/XoznbYnOpTaz17Y0guN3H93uLVWtK0VDtCssKRsMIBHFqdcGZgvMpGUxBOI+ssbRMCt7kYLXs&#10;dhYYa/viAzVHn4kQwi5GBbn3VSylS3My6Ia2Ig7czdYGfYB1JnWNrxBuSjmOook0WHBoyLGiTU7p&#10;/fg0CiI3SR6b033fnDN/2F1lsn3PLkr1e+16DsJT6//in3urw/wZ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xO2S+9AAAA2wAAAA8AAAAAAAAAAAAAAAAAoQIA&#10;AGRycy9kb3ducmV2LnhtbFBLBQYAAAAABAAEAPkAAACLAwAAAAA=&#10;" strokecolor="black [3040]">
                  <v:stroke endarrow="open"/>
                </v:shape>
                <v:shape id="Straight Arrow Connector 21" o:spid="_x0000_s1041" type="#_x0000_t32" style="position:absolute;left:5238;top:41338;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QflMAAAADbAAAADwAAAGRycy9kb3ducmV2LnhtbESPzQrCMBCE74LvEFbwpqkeRKtRRCh4&#10;0IN/eF2atS02m9rEWt/eCILHYWa+YRar1pSiodoVlhWMhhEI4tTqgjMF51MymIJwHlljaZkUvMnB&#10;atntLDDW9sUHao4+EwHCLkYFufdVLKVLczLohrYiDt7N1gZ9kHUmdY2vADelHEfRRBosOCzkWNEm&#10;p/R+fBoFkZskj83pvm/OmT/srjLZvmcXpfq9dj0H4an1//CvvdUKxi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UH5TAAAAA2wAAAA8AAAAAAAAAAAAAAAAA&#10;oQIAAGRycy9kb3ducmV2LnhtbFBLBQYAAAAABAAEAPkAAACOAwAAAAA=&#10;" strokecolor="black [3040]">
                  <v:stroke endarrow="open"/>
                </v:shape>
                <v:line id="Straight Connector 26" o:spid="_x0000_s1042" style="position:absolute;visibility:visible;mso-wrap-style:square" from="30003,58007" to="64585,5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6LsEAAADbAAAADwAAAGRycy9kb3ducmV2LnhtbESPQWsCMRSE70L/Q3iCt5pVcdHVKKW0&#10;KO1JW++PzXN3cfOyJqnGf98IgsdhZr5hlutoWnEh5xvLCkbDDARxaXXDlYLfn8/XGQgfkDW2lknB&#10;jTysVy+9JRbaXnlHl32oRIKwL1BBHUJXSOnLmgz6oe2Ik3e0zmBI0lVSO7wmuGnlOMtyabDhtFBj&#10;R+81laf9n0mU0eFs5OY0x8OX+3YfkzxO41mpQT++LUAEiuEZfrS3WsE4h/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zXouwQAAANsAAAAPAAAAAAAAAAAAAAAA&#10;AKECAABkcnMvZG93bnJldi54bWxQSwUGAAAAAAQABAD5AAAAjwMAAAAA&#10;" strokecolor="black [3040]"/>
                <v:shape id="Straight Arrow Connector 27" o:spid="_x0000_s1043" type="#_x0000_t32" style="position:absolute;left:30003;top:58007;width:0;height:4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ie8IAAADbAAAADwAAAGRycy9kb3ducmV2LnhtbESPS6vCMBSE94L/IRzBnaa68FGNIkLB&#10;xXXhC7eH5tgWm5Pa5Nb6740guBxm5htmuW5NKRqqXWFZwWgYgSBOrS44U3A+JYMZCOeRNZaWScGL&#10;HKxX3c4SY22ffKDm6DMRIOxiVJB7X8VSujQng25oK+Lg3Wxt0AdZZ1LX+AxwU8pxFE2kwYLDQo4V&#10;bXNK78d/oyByk+SxPd33zTnzh7+rTHav+UWpfq/dLEB4av0v/G3vtILxFD5fw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ie8IAAADbAAAADwAAAAAAAAAAAAAA&#10;AAChAgAAZHJzL2Rvd25yZXYueG1sUEsFBgAAAAAEAAQA+QAAAJADAAAAAA==&#10;" strokecolor="black [3040]">
                  <v:stroke endarrow="open"/>
                </v:shape>
                <v:shape id="Straight Arrow Connector 16" o:spid="_x0000_s1044" type="#_x0000_t32" style="position:absolute;left:62388;top:40671;width:0;height:3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FNXcEAAADbAAAADwAAAGRycy9kb3ducmV2LnhtbERPS4vCMBC+C/6HMII3m66HsnaNZREK&#10;HvTgY9nr0My2pc2kNrHWf2+EBW/z8T1nnY2mFQP1rras4COKQRAXVtdcKric88UnCOeRNbaWScGD&#10;HGSb6WSNqbZ3PtJw8qUIIexSVFB536VSuqIigy6yHXHg/mxv0AfYl1L3eA/hppXLOE6kwZpDQ4Ud&#10;bSsqmtPNKIhdkl+35+YwXEp/3P/KfPdY/Sg1n43fXyA8jf4t/nfvdJifwOuXcI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0U1dwQAAANsAAAAPAAAAAAAAAAAAAAAA&#10;AKECAABkcnMvZG93bnJldi54bWxQSwUGAAAAAAQABAD5AAAAjwMAAAAA&#10;" strokecolor="black [3040]">
                  <v:stroke endarrow="open"/>
                </v:shape>
                <v:shape id="Straight Arrow Connector 23" o:spid="_x0000_s1045" type="#_x0000_t32" style="position:absolute;left:62388;top:49911;width:0;height:79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okeMMAAADbAAAADwAAAGRycy9kb3ducmV2LnhtbESPQYvCMBSE7wv+h/AEb2uqgm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KJHjDAAAA2wAAAA8AAAAAAAAAAAAA&#10;AAAAoQIAAGRycy9kb3ducmV2LnhtbFBLBQYAAAAABAAEAPkAAACRAwAAAAA=&#10;" strokecolor="black [3040]">
                  <v:stroke endarrow="open"/>
                </v:shape>
                <v:shape id="Straight Arrow Connector 30" o:spid="_x0000_s1046" type="#_x0000_t32" style="position:absolute;left:64579;top:58007;width:89;height:4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Es0r0AAADbAAAADwAAAGRycy9kb3ducmV2LnhtbERPuwrCMBTdBf8hXMFNUxVEq1FEKDjo&#10;4AvXS3Nti81NbWKtf28GwfFw3st1a0rRUO0KywpGwwgEcWp1wZmCyzkZzEA4j6yxtEwKPuRgvep2&#10;lhhr++YjNSefiRDCLkYFufdVLKVLczLohrYiDtzd1gZ9gHUmdY3vEG5KOY6iqTRYcGjIsaJtTunj&#10;9DIKIjdNntvz49BcMn/c32Sy+8yvSvV77WYBwlPr/+Kfe6cVTML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bBLNK9AAAA2wAAAA8AAAAAAAAAAAAAAAAAoQIA&#10;AGRycy9kb3ducmV2LnhtbFBLBQYAAAAABAAEAPkAAACLAwAAAAA=&#10;" strokecolor="black [3040]">
                  <v:stroke endarrow="open"/>
                </v:shape>
                <v:shape id="Text Box 31" o:spid="_x0000_s1047" type="#_x0000_t202" style="position:absolute;left:48006;top:62484;width:18288;height:9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6SmcIA&#10;AADbAAAADwAAAGRycy9kb3ducmV2LnhtbESPQWsCMRSE74X+h/AKvdWsF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pKZwgAAANsAAAAPAAAAAAAAAAAAAAAAAJgCAABkcnMvZG93&#10;bnJldi54bWxQSwUGAAAAAAQABAD1AAAAhwMAAAAA&#10;" fillcolor="white [3201]" strokeweight=".5pt">
                  <v:textbox>
                    <w:txbxContent>
                      <w:p w:rsidR="00E951CD" w:rsidRDefault="00E951CD" w:rsidP="00E951CD">
                        <w:pPr>
                          <w:jc w:val="center"/>
                          <w:rPr>
                            <w:sz w:val="16"/>
                            <w:szCs w:val="16"/>
                          </w:rPr>
                        </w:pPr>
                        <w:r w:rsidRPr="00E951CD">
                          <w:rPr>
                            <w:sz w:val="16"/>
                            <w:szCs w:val="16"/>
                          </w:rPr>
                          <w:t>Ferri</w:t>
                        </w:r>
                        <w:r>
                          <w:rPr>
                            <w:sz w:val="16"/>
                            <w:szCs w:val="16"/>
                          </w:rPr>
                          <w:t>tin &gt;700</w:t>
                        </w:r>
                      </w:p>
                      <w:p w:rsidR="00E951CD" w:rsidRPr="00E951CD" w:rsidRDefault="00E951CD" w:rsidP="00E951CD">
                        <w:pPr>
                          <w:jc w:val="both"/>
                          <w:rPr>
                            <w:sz w:val="16"/>
                            <w:szCs w:val="16"/>
                          </w:rPr>
                        </w:pPr>
                        <w:r>
                          <w:rPr>
                            <w:sz w:val="16"/>
                            <w:szCs w:val="16"/>
                          </w:rPr>
                          <w:t>No clinical explanation for a raised ferritin &gt;700 (fasting TS &lt;50-55%), refer non-urgently to Haematology if Haemochromatosis still suspected or Gastroenterology if liver disease more likely</w:t>
                        </w:r>
                      </w:p>
                    </w:txbxContent>
                  </v:textbox>
                </v:shape>
              </v:group>
            </w:pict>
          </mc:Fallback>
        </mc:AlternateContent>
      </w:r>
    </w:p>
    <w:p w:rsidR="006A0723" w:rsidRDefault="006A0723">
      <w:pPr>
        <w:rPr>
          <w:b/>
        </w:rPr>
      </w:pPr>
    </w:p>
    <w:p w:rsidR="006A0723" w:rsidRDefault="006A0723">
      <w:pPr>
        <w:rPr>
          <w:b/>
        </w:rPr>
      </w:pPr>
      <w:bookmarkStart w:id="0" w:name="_GoBack"/>
      <w:bookmarkEnd w:id="0"/>
    </w:p>
    <w:p w:rsidR="006A0723" w:rsidRDefault="006A0723">
      <w:pPr>
        <w:rPr>
          <w:b/>
        </w:rPr>
      </w:pPr>
    </w:p>
    <w:p w:rsidR="006A0723" w:rsidRDefault="006A0723">
      <w:pPr>
        <w:rPr>
          <w:b/>
        </w:rPr>
      </w:pPr>
    </w:p>
    <w:p w:rsidR="006A0723" w:rsidRDefault="006A0723">
      <w:pPr>
        <w:rPr>
          <w:b/>
        </w:rPr>
      </w:pPr>
    </w:p>
    <w:p w:rsidR="006A0723" w:rsidRDefault="006A0723">
      <w:pPr>
        <w:rPr>
          <w:b/>
        </w:rPr>
      </w:pPr>
    </w:p>
    <w:p w:rsidR="006A0723" w:rsidRDefault="006A0723">
      <w:pPr>
        <w:rPr>
          <w:b/>
        </w:rPr>
      </w:pPr>
    </w:p>
    <w:p w:rsidR="006A0723" w:rsidRDefault="006A0723">
      <w:pPr>
        <w:rPr>
          <w:b/>
        </w:rPr>
      </w:pPr>
    </w:p>
    <w:p w:rsidR="006A0723" w:rsidRDefault="006A0723">
      <w:pPr>
        <w:rPr>
          <w:b/>
        </w:rPr>
      </w:pPr>
    </w:p>
    <w:p w:rsidR="006A0723" w:rsidRDefault="006A0723">
      <w:pPr>
        <w:rPr>
          <w:b/>
        </w:rPr>
      </w:pPr>
    </w:p>
    <w:p w:rsidR="006A0723" w:rsidRDefault="006A0723">
      <w:pPr>
        <w:rPr>
          <w:b/>
        </w:rPr>
      </w:pPr>
    </w:p>
    <w:p w:rsidR="006A0723" w:rsidRDefault="006A0723">
      <w:pPr>
        <w:rPr>
          <w:b/>
        </w:rPr>
      </w:pPr>
    </w:p>
    <w:p w:rsidR="006A0723" w:rsidRDefault="006A0723">
      <w:pPr>
        <w:rPr>
          <w:b/>
        </w:rPr>
      </w:pPr>
    </w:p>
    <w:p w:rsidR="006A0723" w:rsidRDefault="00BE1EF0">
      <w:pPr>
        <w:rPr>
          <w:b/>
        </w:rPr>
      </w:pPr>
      <w:r>
        <w:rPr>
          <w:b/>
          <w:noProof/>
        </w:rPr>
        <mc:AlternateContent>
          <mc:Choice Requires="wps">
            <w:drawing>
              <wp:anchor distT="0" distB="0" distL="114300" distR="114300" simplePos="0" relativeHeight="251675648" behindDoc="0" locked="0" layoutInCell="1" allowOverlap="1" wp14:anchorId="7B9482A7" wp14:editId="0B653E8D">
                <wp:simplePos x="0" y="0"/>
                <wp:positionH relativeFrom="column">
                  <wp:posOffset>7461885</wp:posOffset>
                </wp:positionH>
                <wp:positionV relativeFrom="paragraph">
                  <wp:posOffset>120650</wp:posOffset>
                </wp:positionV>
                <wp:extent cx="0" cy="104775"/>
                <wp:effectExtent l="76200" t="0" r="114300" b="66675"/>
                <wp:wrapNone/>
                <wp:docPr id="18" name="Straight Arrow Connector 18"/>
                <wp:cNvGraphicFramePr/>
                <a:graphic xmlns:a="http://schemas.openxmlformats.org/drawingml/2006/main">
                  <a:graphicData uri="http://schemas.microsoft.com/office/word/2010/wordprocessingShape">
                    <wps:wsp>
                      <wps:cNvCnPr/>
                      <wps:spPr>
                        <a:xfrm>
                          <a:off x="0" y="0"/>
                          <a:ext cx="0" cy="104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 o:spid="_x0000_s1026" type="#_x0000_t32" style="position:absolute;margin-left:587.55pt;margin-top:9.5pt;width:0;height:8.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" strokecolor="black [3040]">
                <v:stroke endarrow="open"/>
              </v:shape>
            </w:pict>
          </mc:Fallback>
        </mc:AlternateContent>
      </w:r>
    </w:p>
    <w:p w:rsidR="006A0723" w:rsidRDefault="006A0723">
      <w:pPr>
        <w:rPr>
          <w:b/>
        </w:rPr>
      </w:pPr>
    </w:p>
    <w:p w:rsidR="006A0723" w:rsidRDefault="006A0723">
      <w:pPr>
        <w:rPr>
          <w:b/>
        </w:rPr>
      </w:pPr>
    </w:p>
    <w:p w:rsidR="006A0723" w:rsidRDefault="00BE1EF0">
      <w:pPr>
        <w:rPr>
          <w:b/>
        </w:rPr>
      </w:pPr>
      <w:r>
        <w:rPr>
          <w:b/>
          <w:noProof/>
        </w:rPr>
        <mc:AlternateContent>
          <mc:Choice Requires="wps">
            <w:drawing>
              <wp:anchor distT="0" distB="0" distL="114300" distR="114300" simplePos="0" relativeHeight="251677696" behindDoc="0" locked="0" layoutInCell="1" allowOverlap="1" wp14:anchorId="461D60B1" wp14:editId="70134C5A">
                <wp:simplePos x="0" y="0"/>
                <wp:positionH relativeFrom="column">
                  <wp:posOffset>7385685</wp:posOffset>
                </wp:positionH>
                <wp:positionV relativeFrom="paragraph">
                  <wp:posOffset>143510</wp:posOffset>
                </wp:positionV>
                <wp:extent cx="0" cy="352425"/>
                <wp:effectExtent l="95250" t="0" r="95250" b="66675"/>
                <wp:wrapNone/>
                <wp:docPr id="20" name="Straight Arrow Connector 20"/>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 o:spid="_x0000_s1026" type="#_x0000_t32" style="position:absolute;margin-left:581.55pt;margin-top:11.3pt;width:0;height:27.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" strokecolor="black [3040]">
                <v:stroke endarrow="open"/>
              </v:shape>
            </w:pict>
          </mc:Fallback>
        </mc:AlternateContent>
      </w:r>
    </w:p>
    <w:p w:rsidR="006A0723" w:rsidRDefault="006A0723">
      <w:pPr>
        <w:rPr>
          <w:b/>
        </w:rPr>
      </w:pPr>
    </w:p>
    <w:p w:rsidR="006A0723" w:rsidRDefault="006A0723">
      <w:pPr>
        <w:rPr>
          <w:b/>
        </w:rPr>
      </w:pPr>
    </w:p>
    <w:p w:rsidR="006A0723" w:rsidRDefault="006A0723">
      <w:pPr>
        <w:rPr>
          <w:b/>
        </w:rPr>
      </w:pPr>
    </w:p>
    <w:p w:rsidR="006A0723" w:rsidRDefault="006A0723">
      <w:pPr>
        <w:rPr>
          <w:b/>
        </w:rPr>
      </w:pPr>
    </w:p>
    <w:p w:rsidR="006A0723" w:rsidRDefault="006A0723">
      <w:pPr>
        <w:rPr>
          <w:b/>
        </w:rPr>
      </w:pPr>
    </w:p>
    <w:p w:rsidR="006A0723" w:rsidRDefault="00BE1EF0">
      <w:pPr>
        <w:rPr>
          <w:b/>
        </w:rPr>
      </w:pPr>
      <w:r>
        <w:rPr>
          <w:b/>
          <w:noProof/>
        </w:rPr>
        <mc:AlternateContent>
          <mc:Choice Requires="wps">
            <w:drawing>
              <wp:anchor distT="0" distB="0" distL="114300" distR="114300" simplePos="0" relativeHeight="251679744" behindDoc="0" locked="0" layoutInCell="1" allowOverlap="1" wp14:anchorId="2F6501AC" wp14:editId="50FDE964">
                <wp:simplePos x="0" y="0"/>
                <wp:positionH relativeFrom="column">
                  <wp:posOffset>7385685</wp:posOffset>
                </wp:positionH>
                <wp:positionV relativeFrom="paragraph">
                  <wp:posOffset>142240</wp:posOffset>
                </wp:positionV>
                <wp:extent cx="0" cy="342900"/>
                <wp:effectExtent l="95250" t="0" r="95250" b="57150"/>
                <wp:wrapNone/>
                <wp:docPr id="22" name="Straight Arrow Connector 22"/>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6" type="#_x0000_t32" style="position:absolute;margin-left:581.55pt;margin-top:11.2pt;width:0;height:2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" strokecolor="black [3040]">
                <v:stroke endarrow="open"/>
              </v:shape>
            </w:pict>
          </mc:Fallback>
        </mc:AlternateContent>
      </w:r>
    </w:p>
    <w:p w:rsidR="006A0723" w:rsidRDefault="006A0723">
      <w:pPr>
        <w:rPr>
          <w:b/>
        </w:rPr>
      </w:pPr>
    </w:p>
    <w:p w:rsidR="006A0723" w:rsidRDefault="006A0723">
      <w:pPr>
        <w:rPr>
          <w:b/>
        </w:rPr>
      </w:pPr>
    </w:p>
    <w:p w:rsidR="006A0723" w:rsidRDefault="006A0723">
      <w:pPr>
        <w:rPr>
          <w:b/>
        </w:rPr>
      </w:pPr>
    </w:p>
    <w:p w:rsidR="006A0723" w:rsidRDefault="006A0723">
      <w:pPr>
        <w:rPr>
          <w:b/>
        </w:rPr>
      </w:pPr>
    </w:p>
    <w:p w:rsidR="006A0723" w:rsidRDefault="00BE1EF0">
      <w:pPr>
        <w:rPr>
          <w:b/>
        </w:rPr>
      </w:pPr>
      <w:r>
        <w:rPr>
          <w:b/>
          <w:noProof/>
        </w:rPr>
        <mc:AlternateContent>
          <mc:Choice Requires="wps">
            <w:drawing>
              <wp:anchor distT="0" distB="0" distL="114300" distR="114300" simplePos="0" relativeHeight="251680768" behindDoc="0" locked="0" layoutInCell="1" allowOverlap="1" wp14:anchorId="37EF8D3A" wp14:editId="7C09B31F">
                <wp:simplePos x="0" y="0"/>
                <wp:positionH relativeFrom="column">
                  <wp:posOffset>7509510</wp:posOffset>
                </wp:positionH>
                <wp:positionV relativeFrom="paragraph">
                  <wp:posOffset>148590</wp:posOffset>
                </wp:positionV>
                <wp:extent cx="0" cy="161925"/>
                <wp:effectExtent l="0" t="0" r="19050" b="9525"/>
                <wp:wrapNone/>
                <wp:docPr id="25" name="Straight Connector 25"/>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91.3pt,11.7pt" to="591.3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" strokecolor="black [3040]"/>
            </w:pict>
          </mc:Fallback>
        </mc:AlternateContent>
      </w:r>
    </w:p>
    <w:p w:rsidR="006A0723" w:rsidRDefault="00BE1EF0">
      <w:pPr>
        <w:rPr>
          <w:b/>
        </w:rPr>
      </w:pPr>
      <w:r>
        <w:rPr>
          <w:b/>
          <w:noProof/>
        </w:rPr>
        <mc:AlternateContent>
          <mc:Choice Requires="wps">
            <w:drawing>
              <wp:anchor distT="0" distB="0" distL="114300" distR="114300" simplePos="0" relativeHeight="251683840" behindDoc="0" locked="0" layoutInCell="1" allowOverlap="1" wp14:anchorId="1B29B04A" wp14:editId="295CBC75">
                <wp:simplePos x="0" y="0"/>
                <wp:positionH relativeFrom="column">
                  <wp:posOffset>8585835</wp:posOffset>
                </wp:positionH>
                <wp:positionV relativeFrom="paragraph">
                  <wp:posOffset>149860</wp:posOffset>
                </wp:positionV>
                <wp:extent cx="0" cy="133350"/>
                <wp:effectExtent l="95250" t="0" r="57150" b="57150"/>
                <wp:wrapNone/>
                <wp:docPr id="28" name="Straight Arrow Connector 28"/>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 o:spid="_x0000_s1026" type="#_x0000_t32" style="position:absolute;margin-left:676.05pt;margin-top:11.8pt;width:0;height:10.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" strokecolor="black [3040]">
                <v:stroke endarrow="open"/>
              </v:shape>
            </w:pict>
          </mc:Fallback>
        </mc:AlternateContent>
      </w:r>
    </w:p>
    <w:p w:rsidR="006A0723" w:rsidRDefault="00404956" w:rsidP="00CB3745">
      <w:pPr>
        <w:ind w:right="-2"/>
        <w:rPr>
          <w:b/>
        </w:rPr>
      </w:pPr>
      <w:r>
        <w:rPr>
          <w:b/>
          <w:noProof/>
        </w:rPr>
        <mc:AlternateContent>
          <mc:Choice Requires="wps">
            <w:drawing>
              <wp:anchor distT="0" distB="0" distL="114300" distR="114300" simplePos="0" relativeHeight="251669504" behindDoc="0" locked="0" layoutInCell="1" allowOverlap="1" wp14:anchorId="65B6A978" wp14:editId="2B90600C">
                <wp:simplePos x="0" y="0"/>
                <wp:positionH relativeFrom="column">
                  <wp:posOffset>7709535</wp:posOffset>
                </wp:positionH>
                <wp:positionV relativeFrom="paragraph">
                  <wp:posOffset>122555</wp:posOffset>
                </wp:positionV>
                <wp:extent cx="2152650" cy="9525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152650" cy="9525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04956" w:rsidRDefault="00404956" w:rsidP="00404956">
                            <w:pPr>
                              <w:jc w:val="center"/>
                              <w:rPr>
                                <w:sz w:val="16"/>
                                <w:szCs w:val="16"/>
                              </w:rPr>
                            </w:pPr>
                            <w:r>
                              <w:rPr>
                                <w:sz w:val="16"/>
                                <w:szCs w:val="16"/>
                              </w:rPr>
                              <w:t>Ferritin &gt;700</w:t>
                            </w:r>
                          </w:p>
                          <w:p w:rsidR="00404956" w:rsidRPr="00404956" w:rsidRDefault="00404956" w:rsidP="00404956">
                            <w:pPr>
                              <w:jc w:val="both"/>
                              <w:rPr>
                                <w:sz w:val="16"/>
                                <w:szCs w:val="16"/>
                              </w:rPr>
                            </w:pPr>
                            <w:r>
                              <w:rPr>
                                <w:sz w:val="16"/>
                                <w:szCs w:val="16"/>
                              </w:rPr>
                              <w:t>No clinical explanation for a raised ferritin &gt;700, refer non-urgently to Haematology if Haemochromatosis still suspected or Gastroenterology if liver disease more likely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11" o:spid="_x0000_s1048" type="#_x0000_t202" style="position:absolute;margin-left:607.05pt;margin-top:9.65pt;width:169.5pt;height: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" fillcolor="white [3201]" strokecolor="black [3213]" strokeweight=".5pt">
                <v:textbox>
                  <w:txbxContent>
                    <w:p w:rsidR="00404956" w:rsidRDefault="00404956" w:rsidP="00404956">
                      <w:pPr>
                        <w:jc w:val="center"/>
                        <w:rPr>
                          <w:sz w:val="16"/>
                          <w:szCs w:val="16"/>
                        </w:rPr>
                      </w:pPr>
                      <w:r>
                        <w:rPr>
                          <w:sz w:val="16"/>
                          <w:szCs w:val="16"/>
                        </w:rPr>
                        <w:t>Ferritin &gt;700</w:t>
                      </w:r>
                    </w:p>
                    <w:p w:rsidR="00404956" w:rsidRPr="00404956" w:rsidRDefault="00404956" w:rsidP="00404956">
                      <w:pPr>
                        <w:jc w:val="both"/>
                        <w:rPr>
                          <w:sz w:val="16"/>
                          <w:szCs w:val="16"/>
                        </w:rPr>
                      </w:pPr>
                      <w:r>
                        <w:rPr>
                          <w:sz w:val="16"/>
                          <w:szCs w:val="16"/>
                        </w:rPr>
                        <w:t>No clinical explanation for a raised ferritin &gt;700, refer non-urgently to Haematology if Haemochromatosis still suspected or Gastroenterology if liver disease more likely</w:t>
                      </w:r>
                    </w:p>
                  </w:txbxContent>
                </v:textbox>
              </v:shape>
            </w:pict>
          </mc:Fallback>
        </mc:AlternateContent>
      </w:r>
    </w:p>
    <w:p w:rsidR="006A0723" w:rsidRDefault="006A0723">
      <w:pPr>
        <w:rPr>
          <w:b/>
        </w:rPr>
      </w:pPr>
    </w:p>
    <w:p w:rsidR="006A0723" w:rsidRDefault="006A0723">
      <w:pPr>
        <w:rPr>
          <w:b/>
        </w:rPr>
      </w:pPr>
    </w:p>
    <w:p w:rsidR="006A0723" w:rsidRDefault="006A0723">
      <w:pPr>
        <w:rPr>
          <w:b/>
        </w:rPr>
      </w:pPr>
    </w:p>
    <w:p w:rsidR="006A0723" w:rsidRDefault="006A0723">
      <w:pPr>
        <w:rPr>
          <w:b/>
        </w:rPr>
      </w:pPr>
    </w:p>
    <w:p w:rsidR="00E80F94" w:rsidRDefault="00E80F94">
      <w:pPr>
        <w:rPr>
          <w:b/>
        </w:rPr>
      </w:pPr>
      <w:r>
        <w:rPr>
          <w:b/>
        </w:rPr>
        <w:tab/>
      </w:r>
    </w:p>
    <w:p w:rsidR="00E80F94" w:rsidRDefault="00E80F94">
      <w:pPr>
        <w:rPr>
          <w:b/>
        </w:rPr>
      </w:pPr>
    </w:p>
    <w:p w:rsidR="00E80F94" w:rsidRDefault="00E80F94">
      <w:pPr>
        <w:rPr>
          <w:b/>
        </w:rPr>
      </w:pPr>
    </w:p>
    <w:p w:rsidR="00E80F94" w:rsidRDefault="00E80F94">
      <w:pPr>
        <w:rPr>
          <w:b/>
        </w:rPr>
      </w:pPr>
    </w:p>
    <w:p w:rsidR="00E80F94" w:rsidRDefault="00E80F94">
      <w:pPr>
        <w:rPr>
          <w:b/>
        </w:rPr>
      </w:pPr>
    </w:p>
    <w:p w:rsidR="00E80F94" w:rsidRDefault="00E80F94">
      <w:pPr>
        <w:rPr>
          <w:b/>
        </w:rPr>
      </w:pPr>
    </w:p>
    <w:p w:rsidR="00E80F94" w:rsidRDefault="00E80F94">
      <w:pPr>
        <w:rPr>
          <w:b/>
        </w:rPr>
      </w:pPr>
    </w:p>
    <w:p w:rsidR="00E80F94" w:rsidRDefault="00E80F94">
      <w:pPr>
        <w:rPr>
          <w:b/>
        </w:rPr>
      </w:pPr>
    </w:p>
    <w:p w:rsidR="00E80F94" w:rsidRDefault="00E80F94">
      <w:pPr>
        <w:rPr>
          <w:b/>
        </w:rPr>
      </w:pPr>
    </w:p>
    <w:p w:rsidR="00E80F94" w:rsidRDefault="00E80F94">
      <w:pPr>
        <w:rPr>
          <w:b/>
        </w:rPr>
      </w:pPr>
    </w:p>
    <w:p w:rsidR="00E80F94" w:rsidRDefault="00E80F94">
      <w:pPr>
        <w:rPr>
          <w:b/>
        </w:rPr>
      </w:pPr>
    </w:p>
    <w:p w:rsidR="00E80F94" w:rsidRDefault="00E80F94">
      <w:pPr>
        <w:rPr>
          <w:b/>
        </w:rPr>
      </w:pPr>
    </w:p>
    <w:p w:rsidR="00E80F94" w:rsidRDefault="00E80F94">
      <w:pPr>
        <w:rPr>
          <w:b/>
        </w:rPr>
      </w:pPr>
    </w:p>
    <w:p w:rsidR="00E80F94" w:rsidRDefault="00E80F94">
      <w:pPr>
        <w:rPr>
          <w:b/>
        </w:rPr>
      </w:pPr>
    </w:p>
    <w:sectPr w:rsidR="00E80F94" w:rsidSect="00CB3745">
      <w:footerReference w:type="default" r:id="rId9"/>
      <w:pgSz w:w="11906" w:h="16838"/>
      <w:pgMar w:top="624" w:right="851" w:bottom="62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548" w:rsidRDefault="00D97548" w:rsidP="00E80F94">
      <w:r>
        <w:separator/>
      </w:r>
    </w:p>
  </w:endnote>
  <w:endnote w:type="continuationSeparator" w:id="0">
    <w:p w:rsidR="00D97548" w:rsidRDefault="00D97548" w:rsidP="00E8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94" w:rsidRPr="006A0723" w:rsidRDefault="00E80F94" w:rsidP="00E80F94">
    <w:pPr>
      <w:rPr>
        <w:b/>
      </w:rPr>
    </w:pPr>
    <w:r>
      <w:rPr>
        <w:b/>
      </w:rPr>
      <w:t>November 2017</w:t>
    </w:r>
    <w:r>
      <w:rPr>
        <w:b/>
        <w:noProof/>
      </w:rPr>
      <mc:AlternateContent>
        <mc:Choice Requires="wps">
          <w:drawing>
            <wp:anchor distT="0" distB="0" distL="114300" distR="114300" simplePos="0" relativeHeight="251659264" behindDoc="0" locked="0" layoutInCell="1" allowOverlap="1" wp14:anchorId="0CD1AA9E" wp14:editId="628B256C">
              <wp:simplePos x="0" y="0"/>
              <wp:positionH relativeFrom="column">
                <wp:posOffset>7717790</wp:posOffset>
              </wp:positionH>
              <wp:positionV relativeFrom="paragraph">
                <wp:posOffset>-384175</wp:posOffset>
              </wp:positionV>
              <wp:extent cx="2152650" cy="9525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2152650" cy="952500"/>
                      </a:xfrm>
                      <a:prstGeom prst="rect">
                        <a:avLst/>
                      </a:prstGeom>
                      <a:solidFill>
                        <a:sysClr val="window" lastClr="FFFFFF"/>
                      </a:solidFill>
                      <a:ln w="6350">
                        <a:solidFill>
                          <a:sysClr val="windowText" lastClr="000000"/>
                        </a:solidFill>
                      </a:ln>
                      <a:effectLst/>
                    </wps:spPr>
                    <wps:txbx>
                      <w:txbxContent>
                        <w:p w:rsidR="00E80F94" w:rsidRDefault="00E80F94" w:rsidP="00E80F94">
                          <w:pPr>
                            <w:jc w:val="center"/>
                            <w:rPr>
                              <w:sz w:val="16"/>
                              <w:szCs w:val="16"/>
                            </w:rPr>
                          </w:pPr>
                          <w:r>
                            <w:rPr>
                              <w:sz w:val="16"/>
                              <w:szCs w:val="16"/>
                            </w:rPr>
                            <w:t>Ferritin &gt;700</w:t>
                          </w:r>
                        </w:p>
                        <w:p w:rsidR="00E80F94" w:rsidRPr="00404956" w:rsidRDefault="00E80F94" w:rsidP="00E80F94">
                          <w:pPr>
                            <w:jc w:val="both"/>
                            <w:rPr>
                              <w:sz w:val="16"/>
                              <w:szCs w:val="16"/>
                            </w:rPr>
                          </w:pPr>
                          <w:r>
                            <w:rPr>
                              <w:sz w:val="16"/>
                              <w:szCs w:val="16"/>
                            </w:rPr>
                            <w:t xml:space="preserve">No clinical explanation for a raised ferritin &gt;700, refer non-urgently to Haematology if </w:t>
                          </w:r>
                          <w:proofErr w:type="spellStart"/>
                          <w:r>
                            <w:rPr>
                              <w:sz w:val="16"/>
                              <w:szCs w:val="16"/>
                            </w:rPr>
                            <w:t>Haemochromatosis</w:t>
                          </w:r>
                          <w:proofErr w:type="spellEnd"/>
                          <w:r>
                            <w:rPr>
                              <w:sz w:val="16"/>
                              <w:szCs w:val="16"/>
                            </w:rPr>
                            <w:t xml:space="preserve"> still suspected or Gastroenterology if liver disease more likely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4" o:spid="_x0000_s1049" type="#_x0000_t202" style="position:absolute;margin-left:607.7pt;margin-top:-30.25pt;width:169.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" fillcolor="window" strokecolor="windowText" strokeweight=".5pt">
              <v:textbox>
                <w:txbxContent>
                  <w:p w:rsidR="00E80F94" w:rsidRDefault="00E80F94" w:rsidP="00E80F94">
                    <w:pPr>
                      <w:jc w:val="center"/>
                      <w:rPr>
                        <w:sz w:val="16"/>
                        <w:szCs w:val="16"/>
                      </w:rPr>
                    </w:pPr>
                    <w:r>
                      <w:rPr>
                        <w:sz w:val="16"/>
                        <w:szCs w:val="16"/>
                      </w:rPr>
                      <w:t>Ferritin &gt;700</w:t>
                    </w:r>
                  </w:p>
                  <w:p w:rsidR="00E80F94" w:rsidRPr="00404956" w:rsidRDefault="00E80F94" w:rsidP="00E80F94">
                    <w:pPr>
                      <w:jc w:val="both"/>
                      <w:rPr>
                        <w:sz w:val="16"/>
                        <w:szCs w:val="16"/>
                      </w:rPr>
                    </w:pPr>
                    <w:r>
                      <w:rPr>
                        <w:sz w:val="16"/>
                        <w:szCs w:val="16"/>
                      </w:rPr>
                      <w:t xml:space="preserve">No clinical explanation for a raised ferritin &gt;700, refer non-urgently to Haematology if </w:t>
                    </w:r>
                    <w:proofErr w:type="spellStart"/>
                    <w:r>
                      <w:rPr>
                        <w:sz w:val="16"/>
                        <w:szCs w:val="16"/>
                      </w:rPr>
                      <w:t>Haemochromatosis</w:t>
                    </w:r>
                    <w:proofErr w:type="spellEnd"/>
                    <w:r>
                      <w:rPr>
                        <w:sz w:val="16"/>
                        <w:szCs w:val="16"/>
                      </w:rPr>
                      <w:t xml:space="preserve"> still suspected or Gastroenterology if liver disease more likely</w:t>
                    </w:r>
                  </w:p>
                </w:txbxContent>
              </v:textbox>
            </v:shape>
          </w:pict>
        </mc:Fallback>
      </mc:AlternateContent>
    </w:r>
  </w:p>
  <w:p w:rsidR="00E80F94" w:rsidRDefault="00E80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548" w:rsidRDefault="00D97548" w:rsidP="00E80F94">
      <w:r>
        <w:separator/>
      </w:r>
    </w:p>
  </w:footnote>
  <w:footnote w:type="continuationSeparator" w:id="0">
    <w:p w:rsidR="00D97548" w:rsidRDefault="00D97548" w:rsidP="00E80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91FB0"/>
    <w:multiLevelType w:val="hybridMultilevel"/>
    <w:tmpl w:val="A67E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ED166D"/>
    <w:multiLevelType w:val="hybridMultilevel"/>
    <w:tmpl w:val="1DD0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98678A"/>
    <w:multiLevelType w:val="hybridMultilevel"/>
    <w:tmpl w:val="D1BA6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723"/>
    <w:rsid w:val="000125DC"/>
    <w:rsid w:val="00013243"/>
    <w:rsid w:val="00015594"/>
    <w:rsid w:val="0002561F"/>
    <w:rsid w:val="00031436"/>
    <w:rsid w:val="00036BB7"/>
    <w:rsid w:val="00042355"/>
    <w:rsid w:val="0004267F"/>
    <w:rsid w:val="0005251C"/>
    <w:rsid w:val="00065E98"/>
    <w:rsid w:val="00073497"/>
    <w:rsid w:val="00075BFB"/>
    <w:rsid w:val="00076E15"/>
    <w:rsid w:val="00087C37"/>
    <w:rsid w:val="00095C4D"/>
    <w:rsid w:val="00095F82"/>
    <w:rsid w:val="0009668E"/>
    <w:rsid w:val="000A7875"/>
    <w:rsid w:val="000B727C"/>
    <w:rsid w:val="000C200A"/>
    <w:rsid w:val="000C7EC6"/>
    <w:rsid w:val="000D4178"/>
    <w:rsid w:val="000D5102"/>
    <w:rsid w:val="000E6705"/>
    <w:rsid w:val="000F146C"/>
    <w:rsid w:val="001029FD"/>
    <w:rsid w:val="00106D3B"/>
    <w:rsid w:val="00110CBD"/>
    <w:rsid w:val="00120760"/>
    <w:rsid w:val="001314F4"/>
    <w:rsid w:val="00132DE6"/>
    <w:rsid w:val="00133E6F"/>
    <w:rsid w:val="00146074"/>
    <w:rsid w:val="00150442"/>
    <w:rsid w:val="00152009"/>
    <w:rsid w:val="00163183"/>
    <w:rsid w:val="00174D91"/>
    <w:rsid w:val="00177342"/>
    <w:rsid w:val="00177DC7"/>
    <w:rsid w:val="00182BA2"/>
    <w:rsid w:val="0018447D"/>
    <w:rsid w:val="001928C4"/>
    <w:rsid w:val="0019478A"/>
    <w:rsid w:val="001A3FF2"/>
    <w:rsid w:val="001B464E"/>
    <w:rsid w:val="001B6E11"/>
    <w:rsid w:val="001C07D4"/>
    <w:rsid w:val="001C3B3F"/>
    <w:rsid w:val="001C5D75"/>
    <w:rsid w:val="001D2145"/>
    <w:rsid w:val="001D44EF"/>
    <w:rsid w:val="001D4D9F"/>
    <w:rsid w:val="001F6313"/>
    <w:rsid w:val="002035F5"/>
    <w:rsid w:val="00205DFE"/>
    <w:rsid w:val="002118EE"/>
    <w:rsid w:val="00223538"/>
    <w:rsid w:val="00231D38"/>
    <w:rsid w:val="00232A09"/>
    <w:rsid w:val="002358CC"/>
    <w:rsid w:val="00240105"/>
    <w:rsid w:val="002440B6"/>
    <w:rsid w:val="00251183"/>
    <w:rsid w:val="002570A5"/>
    <w:rsid w:val="00262187"/>
    <w:rsid w:val="00264AF5"/>
    <w:rsid w:val="00274687"/>
    <w:rsid w:val="00277F32"/>
    <w:rsid w:val="0028006E"/>
    <w:rsid w:val="00280214"/>
    <w:rsid w:val="00284AFD"/>
    <w:rsid w:val="00287405"/>
    <w:rsid w:val="00296988"/>
    <w:rsid w:val="00297F0B"/>
    <w:rsid w:val="002A1C7D"/>
    <w:rsid w:val="002A346B"/>
    <w:rsid w:val="002C199E"/>
    <w:rsid w:val="002C1E24"/>
    <w:rsid w:val="002C33C8"/>
    <w:rsid w:val="002D2382"/>
    <w:rsid w:val="002D4CC7"/>
    <w:rsid w:val="002D62BD"/>
    <w:rsid w:val="002D6DE9"/>
    <w:rsid w:val="002E1A47"/>
    <w:rsid w:val="002E1E1C"/>
    <w:rsid w:val="002F6D92"/>
    <w:rsid w:val="00306ECA"/>
    <w:rsid w:val="003078F1"/>
    <w:rsid w:val="00310C37"/>
    <w:rsid w:val="00314590"/>
    <w:rsid w:val="00317432"/>
    <w:rsid w:val="0032342E"/>
    <w:rsid w:val="003237EB"/>
    <w:rsid w:val="00324A27"/>
    <w:rsid w:val="00335CC8"/>
    <w:rsid w:val="003365DF"/>
    <w:rsid w:val="00340E61"/>
    <w:rsid w:val="0034337E"/>
    <w:rsid w:val="00344A6E"/>
    <w:rsid w:val="003455C9"/>
    <w:rsid w:val="00353084"/>
    <w:rsid w:val="00354BE0"/>
    <w:rsid w:val="00362EC3"/>
    <w:rsid w:val="00377395"/>
    <w:rsid w:val="00382D99"/>
    <w:rsid w:val="003853B3"/>
    <w:rsid w:val="00386201"/>
    <w:rsid w:val="00394CEE"/>
    <w:rsid w:val="00396C88"/>
    <w:rsid w:val="003A2702"/>
    <w:rsid w:val="003A76C5"/>
    <w:rsid w:val="003B5550"/>
    <w:rsid w:val="003B5B3B"/>
    <w:rsid w:val="003C1A67"/>
    <w:rsid w:val="003C3549"/>
    <w:rsid w:val="003D13BB"/>
    <w:rsid w:val="003D403B"/>
    <w:rsid w:val="003E2FF3"/>
    <w:rsid w:val="003F008A"/>
    <w:rsid w:val="003F20DB"/>
    <w:rsid w:val="004044B2"/>
    <w:rsid w:val="00404956"/>
    <w:rsid w:val="00411EE7"/>
    <w:rsid w:val="00412CCC"/>
    <w:rsid w:val="0043168B"/>
    <w:rsid w:val="00433249"/>
    <w:rsid w:val="00440241"/>
    <w:rsid w:val="00441AF1"/>
    <w:rsid w:val="004457C6"/>
    <w:rsid w:val="004471BB"/>
    <w:rsid w:val="00472FA1"/>
    <w:rsid w:val="00473D9C"/>
    <w:rsid w:val="00475CF6"/>
    <w:rsid w:val="00480850"/>
    <w:rsid w:val="004868C1"/>
    <w:rsid w:val="0049060D"/>
    <w:rsid w:val="0049266F"/>
    <w:rsid w:val="00495842"/>
    <w:rsid w:val="00496F47"/>
    <w:rsid w:val="004A0874"/>
    <w:rsid w:val="004A0AA4"/>
    <w:rsid w:val="004A5AE7"/>
    <w:rsid w:val="004A5EAD"/>
    <w:rsid w:val="004A5F97"/>
    <w:rsid w:val="004B1E13"/>
    <w:rsid w:val="004B44DF"/>
    <w:rsid w:val="004B6750"/>
    <w:rsid w:val="004B7104"/>
    <w:rsid w:val="004C463D"/>
    <w:rsid w:val="004D5248"/>
    <w:rsid w:val="004E00A7"/>
    <w:rsid w:val="004E0F54"/>
    <w:rsid w:val="004F3B3C"/>
    <w:rsid w:val="00501510"/>
    <w:rsid w:val="00511E2C"/>
    <w:rsid w:val="0051324C"/>
    <w:rsid w:val="0052605A"/>
    <w:rsid w:val="005406B9"/>
    <w:rsid w:val="005522B0"/>
    <w:rsid w:val="005532FD"/>
    <w:rsid w:val="0055628C"/>
    <w:rsid w:val="00556C3A"/>
    <w:rsid w:val="00572F67"/>
    <w:rsid w:val="00575159"/>
    <w:rsid w:val="0057526A"/>
    <w:rsid w:val="0057758B"/>
    <w:rsid w:val="00587217"/>
    <w:rsid w:val="00590B14"/>
    <w:rsid w:val="00592BC7"/>
    <w:rsid w:val="00593F9E"/>
    <w:rsid w:val="0059713C"/>
    <w:rsid w:val="005A183D"/>
    <w:rsid w:val="005A2FBB"/>
    <w:rsid w:val="005B461D"/>
    <w:rsid w:val="005C03B0"/>
    <w:rsid w:val="005D3D67"/>
    <w:rsid w:val="005D4FC9"/>
    <w:rsid w:val="005F05CC"/>
    <w:rsid w:val="005F08A9"/>
    <w:rsid w:val="00621699"/>
    <w:rsid w:val="00623E3E"/>
    <w:rsid w:val="006272D1"/>
    <w:rsid w:val="00640631"/>
    <w:rsid w:val="0064070F"/>
    <w:rsid w:val="00644E45"/>
    <w:rsid w:val="00646AA1"/>
    <w:rsid w:val="00672659"/>
    <w:rsid w:val="00681495"/>
    <w:rsid w:val="0068634B"/>
    <w:rsid w:val="006924B0"/>
    <w:rsid w:val="006946A2"/>
    <w:rsid w:val="0069716C"/>
    <w:rsid w:val="00697862"/>
    <w:rsid w:val="006A0723"/>
    <w:rsid w:val="006B0A63"/>
    <w:rsid w:val="006B205A"/>
    <w:rsid w:val="006B4D2B"/>
    <w:rsid w:val="006C211B"/>
    <w:rsid w:val="006C461B"/>
    <w:rsid w:val="006C7ACF"/>
    <w:rsid w:val="006D08B5"/>
    <w:rsid w:val="006D3C8F"/>
    <w:rsid w:val="006E27E0"/>
    <w:rsid w:val="006F2ACC"/>
    <w:rsid w:val="0070313A"/>
    <w:rsid w:val="007051D1"/>
    <w:rsid w:val="00712C31"/>
    <w:rsid w:val="00714D8D"/>
    <w:rsid w:val="00715BCD"/>
    <w:rsid w:val="00716881"/>
    <w:rsid w:val="007170FE"/>
    <w:rsid w:val="0072094D"/>
    <w:rsid w:val="00722896"/>
    <w:rsid w:val="0072357A"/>
    <w:rsid w:val="00724900"/>
    <w:rsid w:val="0072553A"/>
    <w:rsid w:val="00725F62"/>
    <w:rsid w:val="00731A0C"/>
    <w:rsid w:val="00737014"/>
    <w:rsid w:val="0073715B"/>
    <w:rsid w:val="00741402"/>
    <w:rsid w:val="00743D10"/>
    <w:rsid w:val="007441E0"/>
    <w:rsid w:val="007575A4"/>
    <w:rsid w:val="00760114"/>
    <w:rsid w:val="00762BEA"/>
    <w:rsid w:val="0077529E"/>
    <w:rsid w:val="00783F42"/>
    <w:rsid w:val="00784100"/>
    <w:rsid w:val="00793E0B"/>
    <w:rsid w:val="007A0A9C"/>
    <w:rsid w:val="007A1645"/>
    <w:rsid w:val="007B0DBC"/>
    <w:rsid w:val="007B3E30"/>
    <w:rsid w:val="007C6B1A"/>
    <w:rsid w:val="007E2748"/>
    <w:rsid w:val="00800E6A"/>
    <w:rsid w:val="00802366"/>
    <w:rsid w:val="00804E3C"/>
    <w:rsid w:val="00805BC4"/>
    <w:rsid w:val="00807D4A"/>
    <w:rsid w:val="008124EB"/>
    <w:rsid w:val="008225A2"/>
    <w:rsid w:val="00822D07"/>
    <w:rsid w:val="008323D4"/>
    <w:rsid w:val="00842E02"/>
    <w:rsid w:val="00844E67"/>
    <w:rsid w:val="00846FBD"/>
    <w:rsid w:val="0085074C"/>
    <w:rsid w:val="008527F6"/>
    <w:rsid w:val="0085568E"/>
    <w:rsid w:val="008622C1"/>
    <w:rsid w:val="00865BB7"/>
    <w:rsid w:val="00866E9F"/>
    <w:rsid w:val="00872D9C"/>
    <w:rsid w:val="00883955"/>
    <w:rsid w:val="0088573C"/>
    <w:rsid w:val="008913BB"/>
    <w:rsid w:val="00892D27"/>
    <w:rsid w:val="00893695"/>
    <w:rsid w:val="008943A4"/>
    <w:rsid w:val="00894B83"/>
    <w:rsid w:val="0089645E"/>
    <w:rsid w:val="008A097E"/>
    <w:rsid w:val="008A2564"/>
    <w:rsid w:val="008B5EA6"/>
    <w:rsid w:val="008C782C"/>
    <w:rsid w:val="008D68E2"/>
    <w:rsid w:val="008D6E7A"/>
    <w:rsid w:val="008E6B62"/>
    <w:rsid w:val="008F0772"/>
    <w:rsid w:val="008F3DEA"/>
    <w:rsid w:val="008F560C"/>
    <w:rsid w:val="008F57FF"/>
    <w:rsid w:val="008F7E67"/>
    <w:rsid w:val="008F7F31"/>
    <w:rsid w:val="00903C08"/>
    <w:rsid w:val="00905DA6"/>
    <w:rsid w:val="009071A7"/>
    <w:rsid w:val="009079A2"/>
    <w:rsid w:val="009108B8"/>
    <w:rsid w:val="00910F61"/>
    <w:rsid w:val="009111E4"/>
    <w:rsid w:val="00923C57"/>
    <w:rsid w:val="00924941"/>
    <w:rsid w:val="00926258"/>
    <w:rsid w:val="00931E41"/>
    <w:rsid w:val="00933ACB"/>
    <w:rsid w:val="00937F24"/>
    <w:rsid w:val="009416A7"/>
    <w:rsid w:val="00943C56"/>
    <w:rsid w:val="00954093"/>
    <w:rsid w:val="009614C9"/>
    <w:rsid w:val="00962A90"/>
    <w:rsid w:val="00970220"/>
    <w:rsid w:val="009743EB"/>
    <w:rsid w:val="0097478C"/>
    <w:rsid w:val="00980F5D"/>
    <w:rsid w:val="00982D61"/>
    <w:rsid w:val="0099250F"/>
    <w:rsid w:val="00996226"/>
    <w:rsid w:val="009A058F"/>
    <w:rsid w:val="009A3D13"/>
    <w:rsid w:val="009A41EC"/>
    <w:rsid w:val="009A4C68"/>
    <w:rsid w:val="009A7286"/>
    <w:rsid w:val="009B5EB6"/>
    <w:rsid w:val="009B738B"/>
    <w:rsid w:val="009C57DE"/>
    <w:rsid w:val="009C6251"/>
    <w:rsid w:val="009C658E"/>
    <w:rsid w:val="009D0F7C"/>
    <w:rsid w:val="009D4366"/>
    <w:rsid w:val="009D4BFC"/>
    <w:rsid w:val="009E1888"/>
    <w:rsid w:val="009F1470"/>
    <w:rsid w:val="009F3A1F"/>
    <w:rsid w:val="009F53FC"/>
    <w:rsid w:val="009F5AC9"/>
    <w:rsid w:val="009F7F84"/>
    <w:rsid w:val="00A04BB4"/>
    <w:rsid w:val="00A10939"/>
    <w:rsid w:val="00A12A14"/>
    <w:rsid w:val="00A12BA3"/>
    <w:rsid w:val="00A144BA"/>
    <w:rsid w:val="00A14D6D"/>
    <w:rsid w:val="00A15B46"/>
    <w:rsid w:val="00A2434B"/>
    <w:rsid w:val="00A24ED2"/>
    <w:rsid w:val="00A259FF"/>
    <w:rsid w:val="00A263D3"/>
    <w:rsid w:val="00A30A78"/>
    <w:rsid w:val="00A3274F"/>
    <w:rsid w:val="00A327B0"/>
    <w:rsid w:val="00A356AD"/>
    <w:rsid w:val="00A45A21"/>
    <w:rsid w:val="00A53D06"/>
    <w:rsid w:val="00A7467B"/>
    <w:rsid w:val="00A903BE"/>
    <w:rsid w:val="00A973C7"/>
    <w:rsid w:val="00AA23CB"/>
    <w:rsid w:val="00AA427E"/>
    <w:rsid w:val="00AB3D59"/>
    <w:rsid w:val="00AB51A0"/>
    <w:rsid w:val="00AC2057"/>
    <w:rsid w:val="00AC3FFA"/>
    <w:rsid w:val="00AC4C8F"/>
    <w:rsid w:val="00AD0EE1"/>
    <w:rsid w:val="00AE3218"/>
    <w:rsid w:val="00AE3DCD"/>
    <w:rsid w:val="00AE795F"/>
    <w:rsid w:val="00AF0268"/>
    <w:rsid w:val="00B02FE4"/>
    <w:rsid w:val="00B03265"/>
    <w:rsid w:val="00B045EA"/>
    <w:rsid w:val="00B1074D"/>
    <w:rsid w:val="00B140F5"/>
    <w:rsid w:val="00B15095"/>
    <w:rsid w:val="00B21105"/>
    <w:rsid w:val="00B219E1"/>
    <w:rsid w:val="00B25AC7"/>
    <w:rsid w:val="00B302CC"/>
    <w:rsid w:val="00B40A9E"/>
    <w:rsid w:val="00B4650C"/>
    <w:rsid w:val="00B71689"/>
    <w:rsid w:val="00B75895"/>
    <w:rsid w:val="00B86708"/>
    <w:rsid w:val="00B86854"/>
    <w:rsid w:val="00B92ED3"/>
    <w:rsid w:val="00B946F9"/>
    <w:rsid w:val="00B95391"/>
    <w:rsid w:val="00B9597B"/>
    <w:rsid w:val="00BC0A27"/>
    <w:rsid w:val="00BC3CF0"/>
    <w:rsid w:val="00BC49ED"/>
    <w:rsid w:val="00BD6DEF"/>
    <w:rsid w:val="00BE1EF0"/>
    <w:rsid w:val="00BE47DB"/>
    <w:rsid w:val="00BE51CE"/>
    <w:rsid w:val="00BE54F4"/>
    <w:rsid w:val="00BF004D"/>
    <w:rsid w:val="00BF4FAE"/>
    <w:rsid w:val="00C13101"/>
    <w:rsid w:val="00C2458A"/>
    <w:rsid w:val="00C27AF1"/>
    <w:rsid w:val="00C3123A"/>
    <w:rsid w:val="00C34B1D"/>
    <w:rsid w:val="00C35767"/>
    <w:rsid w:val="00C42B25"/>
    <w:rsid w:val="00C46C59"/>
    <w:rsid w:val="00C51C9D"/>
    <w:rsid w:val="00C549A1"/>
    <w:rsid w:val="00C57F1F"/>
    <w:rsid w:val="00C72170"/>
    <w:rsid w:val="00C72A63"/>
    <w:rsid w:val="00C76CD6"/>
    <w:rsid w:val="00C8498F"/>
    <w:rsid w:val="00C8737D"/>
    <w:rsid w:val="00C9315B"/>
    <w:rsid w:val="00CA3D56"/>
    <w:rsid w:val="00CA5815"/>
    <w:rsid w:val="00CA6BDD"/>
    <w:rsid w:val="00CA78E1"/>
    <w:rsid w:val="00CB02CC"/>
    <w:rsid w:val="00CB2AA6"/>
    <w:rsid w:val="00CB3745"/>
    <w:rsid w:val="00CB52D3"/>
    <w:rsid w:val="00CC27CD"/>
    <w:rsid w:val="00CC5740"/>
    <w:rsid w:val="00CD3DDE"/>
    <w:rsid w:val="00CF2113"/>
    <w:rsid w:val="00CF25E2"/>
    <w:rsid w:val="00D027F9"/>
    <w:rsid w:val="00D06A23"/>
    <w:rsid w:val="00D105D5"/>
    <w:rsid w:val="00D11CF7"/>
    <w:rsid w:val="00D12DB9"/>
    <w:rsid w:val="00D14993"/>
    <w:rsid w:val="00D223B1"/>
    <w:rsid w:val="00D22635"/>
    <w:rsid w:val="00D31624"/>
    <w:rsid w:val="00D360BA"/>
    <w:rsid w:val="00D43774"/>
    <w:rsid w:val="00D51D51"/>
    <w:rsid w:val="00D54602"/>
    <w:rsid w:val="00D60308"/>
    <w:rsid w:val="00D67539"/>
    <w:rsid w:val="00D67617"/>
    <w:rsid w:val="00D713C6"/>
    <w:rsid w:val="00D77701"/>
    <w:rsid w:val="00D8195B"/>
    <w:rsid w:val="00D82A1D"/>
    <w:rsid w:val="00D86D27"/>
    <w:rsid w:val="00D942D2"/>
    <w:rsid w:val="00D97548"/>
    <w:rsid w:val="00DA0B60"/>
    <w:rsid w:val="00DA3106"/>
    <w:rsid w:val="00DA50A7"/>
    <w:rsid w:val="00DB0F4B"/>
    <w:rsid w:val="00DB2F10"/>
    <w:rsid w:val="00DD048D"/>
    <w:rsid w:val="00DD088F"/>
    <w:rsid w:val="00DD3BBD"/>
    <w:rsid w:val="00DD404B"/>
    <w:rsid w:val="00DD5C18"/>
    <w:rsid w:val="00DE5E71"/>
    <w:rsid w:val="00DE701C"/>
    <w:rsid w:val="00DF039A"/>
    <w:rsid w:val="00E051E3"/>
    <w:rsid w:val="00E05B23"/>
    <w:rsid w:val="00E071FA"/>
    <w:rsid w:val="00E21DFC"/>
    <w:rsid w:val="00E21EC1"/>
    <w:rsid w:val="00E24AE1"/>
    <w:rsid w:val="00E2650B"/>
    <w:rsid w:val="00E26F5C"/>
    <w:rsid w:val="00E357FC"/>
    <w:rsid w:val="00E36878"/>
    <w:rsid w:val="00E36B86"/>
    <w:rsid w:val="00E37CBC"/>
    <w:rsid w:val="00E405AC"/>
    <w:rsid w:val="00E42494"/>
    <w:rsid w:val="00E4355A"/>
    <w:rsid w:val="00E4608B"/>
    <w:rsid w:val="00E46592"/>
    <w:rsid w:val="00E55C28"/>
    <w:rsid w:val="00E623F6"/>
    <w:rsid w:val="00E70AF0"/>
    <w:rsid w:val="00E736F9"/>
    <w:rsid w:val="00E75A26"/>
    <w:rsid w:val="00E75B9F"/>
    <w:rsid w:val="00E80993"/>
    <w:rsid w:val="00E80F94"/>
    <w:rsid w:val="00E8284C"/>
    <w:rsid w:val="00E864DD"/>
    <w:rsid w:val="00E8736C"/>
    <w:rsid w:val="00E90C2A"/>
    <w:rsid w:val="00E921A1"/>
    <w:rsid w:val="00E93425"/>
    <w:rsid w:val="00E951CD"/>
    <w:rsid w:val="00E95E63"/>
    <w:rsid w:val="00E979E3"/>
    <w:rsid w:val="00EA1388"/>
    <w:rsid w:val="00EC17A4"/>
    <w:rsid w:val="00EC538D"/>
    <w:rsid w:val="00EC6C20"/>
    <w:rsid w:val="00ED686B"/>
    <w:rsid w:val="00EE2423"/>
    <w:rsid w:val="00EE67AE"/>
    <w:rsid w:val="00EF1038"/>
    <w:rsid w:val="00EF5F0D"/>
    <w:rsid w:val="00F013E1"/>
    <w:rsid w:val="00F11EBE"/>
    <w:rsid w:val="00F1529A"/>
    <w:rsid w:val="00F16901"/>
    <w:rsid w:val="00F16F70"/>
    <w:rsid w:val="00F173E0"/>
    <w:rsid w:val="00F17571"/>
    <w:rsid w:val="00F22A88"/>
    <w:rsid w:val="00F22EDA"/>
    <w:rsid w:val="00F270EE"/>
    <w:rsid w:val="00F3544C"/>
    <w:rsid w:val="00F359F8"/>
    <w:rsid w:val="00F36A0B"/>
    <w:rsid w:val="00F4404E"/>
    <w:rsid w:val="00F50F5B"/>
    <w:rsid w:val="00F640CE"/>
    <w:rsid w:val="00F706BF"/>
    <w:rsid w:val="00F7241B"/>
    <w:rsid w:val="00F820B1"/>
    <w:rsid w:val="00F8475B"/>
    <w:rsid w:val="00F8649A"/>
    <w:rsid w:val="00F97BC2"/>
    <w:rsid w:val="00FA251C"/>
    <w:rsid w:val="00FA3744"/>
    <w:rsid w:val="00FB6798"/>
    <w:rsid w:val="00FB786E"/>
    <w:rsid w:val="00FC4E54"/>
    <w:rsid w:val="00FD632B"/>
    <w:rsid w:val="00FE2296"/>
    <w:rsid w:val="00FE3A97"/>
    <w:rsid w:val="00FE49AD"/>
    <w:rsid w:val="00FE592B"/>
    <w:rsid w:val="00FE7340"/>
    <w:rsid w:val="00FF3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723"/>
    <w:pPr>
      <w:ind w:left="720"/>
      <w:contextualSpacing/>
    </w:pPr>
  </w:style>
  <w:style w:type="paragraph" w:styleId="BalloonText">
    <w:name w:val="Balloon Text"/>
    <w:basedOn w:val="Normal"/>
    <w:link w:val="BalloonTextChar"/>
    <w:rsid w:val="000E6705"/>
    <w:rPr>
      <w:rFonts w:ascii="Tahoma" w:hAnsi="Tahoma" w:cs="Tahoma"/>
      <w:sz w:val="16"/>
      <w:szCs w:val="16"/>
    </w:rPr>
  </w:style>
  <w:style w:type="character" w:customStyle="1" w:styleId="BalloonTextChar">
    <w:name w:val="Balloon Text Char"/>
    <w:basedOn w:val="DefaultParagraphFont"/>
    <w:link w:val="BalloonText"/>
    <w:rsid w:val="000E6705"/>
    <w:rPr>
      <w:rFonts w:ascii="Tahoma" w:hAnsi="Tahoma" w:cs="Tahoma"/>
      <w:sz w:val="16"/>
      <w:szCs w:val="16"/>
    </w:rPr>
  </w:style>
  <w:style w:type="paragraph" w:styleId="Header">
    <w:name w:val="header"/>
    <w:basedOn w:val="Normal"/>
    <w:link w:val="HeaderChar"/>
    <w:rsid w:val="00E80F94"/>
    <w:pPr>
      <w:tabs>
        <w:tab w:val="center" w:pos="4513"/>
        <w:tab w:val="right" w:pos="9026"/>
      </w:tabs>
    </w:pPr>
  </w:style>
  <w:style w:type="character" w:customStyle="1" w:styleId="HeaderChar">
    <w:name w:val="Header Char"/>
    <w:basedOn w:val="DefaultParagraphFont"/>
    <w:link w:val="Header"/>
    <w:rsid w:val="00E80F94"/>
    <w:rPr>
      <w:rFonts w:ascii="Arial" w:hAnsi="Arial"/>
      <w:sz w:val="22"/>
      <w:szCs w:val="22"/>
    </w:rPr>
  </w:style>
  <w:style w:type="paragraph" w:styleId="Footer">
    <w:name w:val="footer"/>
    <w:basedOn w:val="Normal"/>
    <w:link w:val="FooterChar"/>
    <w:rsid w:val="00E80F94"/>
    <w:pPr>
      <w:tabs>
        <w:tab w:val="center" w:pos="4513"/>
        <w:tab w:val="right" w:pos="9026"/>
      </w:tabs>
    </w:pPr>
  </w:style>
  <w:style w:type="character" w:customStyle="1" w:styleId="FooterChar">
    <w:name w:val="Footer Char"/>
    <w:basedOn w:val="DefaultParagraphFont"/>
    <w:link w:val="Footer"/>
    <w:rsid w:val="00E80F94"/>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723"/>
    <w:pPr>
      <w:ind w:left="720"/>
      <w:contextualSpacing/>
    </w:pPr>
  </w:style>
  <w:style w:type="paragraph" w:styleId="BalloonText">
    <w:name w:val="Balloon Text"/>
    <w:basedOn w:val="Normal"/>
    <w:link w:val="BalloonTextChar"/>
    <w:rsid w:val="000E6705"/>
    <w:rPr>
      <w:rFonts w:ascii="Tahoma" w:hAnsi="Tahoma" w:cs="Tahoma"/>
      <w:sz w:val="16"/>
      <w:szCs w:val="16"/>
    </w:rPr>
  </w:style>
  <w:style w:type="character" w:customStyle="1" w:styleId="BalloonTextChar">
    <w:name w:val="Balloon Text Char"/>
    <w:basedOn w:val="DefaultParagraphFont"/>
    <w:link w:val="BalloonText"/>
    <w:rsid w:val="000E6705"/>
    <w:rPr>
      <w:rFonts w:ascii="Tahoma" w:hAnsi="Tahoma" w:cs="Tahoma"/>
      <w:sz w:val="16"/>
      <w:szCs w:val="16"/>
    </w:rPr>
  </w:style>
  <w:style w:type="paragraph" w:styleId="Header">
    <w:name w:val="header"/>
    <w:basedOn w:val="Normal"/>
    <w:link w:val="HeaderChar"/>
    <w:rsid w:val="00E80F94"/>
    <w:pPr>
      <w:tabs>
        <w:tab w:val="center" w:pos="4513"/>
        <w:tab w:val="right" w:pos="9026"/>
      </w:tabs>
    </w:pPr>
  </w:style>
  <w:style w:type="character" w:customStyle="1" w:styleId="HeaderChar">
    <w:name w:val="Header Char"/>
    <w:basedOn w:val="DefaultParagraphFont"/>
    <w:link w:val="Header"/>
    <w:rsid w:val="00E80F94"/>
    <w:rPr>
      <w:rFonts w:ascii="Arial" w:hAnsi="Arial"/>
      <w:sz w:val="22"/>
      <w:szCs w:val="22"/>
    </w:rPr>
  </w:style>
  <w:style w:type="paragraph" w:styleId="Footer">
    <w:name w:val="footer"/>
    <w:basedOn w:val="Normal"/>
    <w:link w:val="FooterChar"/>
    <w:rsid w:val="00E80F94"/>
    <w:pPr>
      <w:tabs>
        <w:tab w:val="center" w:pos="4513"/>
        <w:tab w:val="right" w:pos="9026"/>
      </w:tabs>
    </w:pPr>
  </w:style>
  <w:style w:type="character" w:customStyle="1" w:styleId="FooterChar">
    <w:name w:val="Footer Char"/>
    <w:basedOn w:val="DefaultParagraphFont"/>
    <w:link w:val="Footer"/>
    <w:rsid w:val="00E80F94"/>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Harrogate and District NHS Foundation Trust</Company>
  <LinksUpToDate>false</LinksUpToDate>
  <CharactersWithSpaces>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Bayes Linda [RCD]</dc:creator>
  <cp:lastModifiedBy>Wood Sylvia (RCD)</cp:lastModifiedBy>
  <cp:revision>3</cp:revision>
  <cp:lastPrinted>2017-10-31T10:22:00Z</cp:lastPrinted>
  <dcterms:created xsi:type="dcterms:W3CDTF">2017-10-31T13:38:00Z</dcterms:created>
  <dcterms:modified xsi:type="dcterms:W3CDTF">2017-12-22T08:41:00Z</dcterms:modified>
</cp:coreProperties>
</file>