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4792A" w14:textId="207EFF9B" w:rsidR="009D6945" w:rsidRDefault="009D6945" w:rsidP="009054CB">
      <w:pPr>
        <w:pStyle w:val="ListParagraph"/>
        <w:spacing w:before="0" w:after="0"/>
        <w:jc w:val="center"/>
        <w:rPr>
          <w:b/>
          <w:color w:val="FF0000"/>
          <w:sz w:val="24"/>
          <w:lang w:eastAsia="en-US"/>
        </w:rPr>
      </w:pPr>
    </w:p>
    <w:p w14:paraId="45C6876F" w14:textId="77777777" w:rsidR="00B067AB" w:rsidRPr="004B69AA" w:rsidRDefault="00B067AB" w:rsidP="005769C6">
      <w:pPr>
        <w:tabs>
          <w:tab w:val="left" w:pos="7635"/>
        </w:tabs>
        <w:spacing w:before="0" w:after="0"/>
        <w:ind w:left="-426"/>
        <w:jc w:val="left"/>
        <w:rPr>
          <w:b/>
          <w:bCs/>
          <w:sz w:val="28"/>
          <w:szCs w:val="28"/>
        </w:rPr>
      </w:pPr>
    </w:p>
    <w:p w14:paraId="6C467CD2" w14:textId="77777777" w:rsidR="00B067AB" w:rsidRPr="004B69AA" w:rsidRDefault="00B067AB" w:rsidP="005769C6">
      <w:pPr>
        <w:tabs>
          <w:tab w:val="left" w:pos="7635"/>
        </w:tabs>
        <w:spacing w:before="0" w:after="0"/>
        <w:ind w:left="-426"/>
        <w:jc w:val="center"/>
        <w:rPr>
          <w:b/>
          <w:bCs/>
          <w:sz w:val="28"/>
          <w:szCs w:val="28"/>
        </w:rPr>
      </w:pPr>
    </w:p>
    <w:p w14:paraId="672F79C6" w14:textId="1F07B155" w:rsidR="00B067AB" w:rsidRPr="004B69AA" w:rsidRDefault="00B067AB" w:rsidP="005769C6">
      <w:pPr>
        <w:tabs>
          <w:tab w:val="left" w:pos="7635"/>
        </w:tabs>
        <w:spacing w:before="0" w:after="0"/>
        <w:ind w:left="-426"/>
        <w:jc w:val="center"/>
        <w:rPr>
          <w:b/>
          <w:bCs/>
          <w:i/>
          <w:sz w:val="24"/>
          <w:szCs w:val="28"/>
        </w:rPr>
      </w:pPr>
      <w:r w:rsidRPr="004B69AA">
        <w:rPr>
          <w:b/>
          <w:bCs/>
          <w:i/>
          <w:sz w:val="24"/>
          <w:szCs w:val="28"/>
        </w:rPr>
        <w:t>Board Meeting Held in Publ</w:t>
      </w:r>
      <w:r>
        <w:rPr>
          <w:b/>
          <w:bCs/>
          <w:i/>
          <w:sz w:val="24"/>
          <w:szCs w:val="28"/>
        </w:rPr>
        <w:t>i</w:t>
      </w:r>
      <w:r w:rsidRPr="004B69AA">
        <w:rPr>
          <w:b/>
          <w:bCs/>
          <w:i/>
          <w:sz w:val="24"/>
          <w:szCs w:val="28"/>
        </w:rPr>
        <w:t>c</w:t>
      </w:r>
    </w:p>
    <w:p w14:paraId="235F99F1" w14:textId="08019FAA" w:rsidR="00B067AB" w:rsidRPr="004B69AA" w:rsidRDefault="000C26E1" w:rsidP="22E6DB4E">
      <w:pPr>
        <w:tabs>
          <w:tab w:val="left" w:pos="7635"/>
        </w:tabs>
        <w:spacing w:before="0" w:after="240"/>
        <w:ind w:left="-425"/>
        <w:jc w:val="center"/>
        <w:rPr>
          <w:rStyle w:val="Doctitle"/>
          <w:i/>
          <w:iCs/>
          <w:sz w:val="24"/>
        </w:rPr>
      </w:pPr>
      <w:r w:rsidRPr="22E6DB4E">
        <w:rPr>
          <w:rStyle w:val="Doctitle"/>
          <w:i/>
          <w:iCs/>
          <w:sz w:val="24"/>
        </w:rPr>
        <w:t xml:space="preserve">Wednesday </w:t>
      </w:r>
      <w:r w:rsidR="00496CC7" w:rsidRPr="22E6DB4E">
        <w:rPr>
          <w:rStyle w:val="Doctitle"/>
          <w:i/>
          <w:iCs/>
          <w:sz w:val="24"/>
        </w:rPr>
        <w:t>26</w:t>
      </w:r>
      <w:r w:rsidR="00282142" w:rsidRPr="22E6DB4E">
        <w:rPr>
          <w:rStyle w:val="Doctitle"/>
          <w:i/>
          <w:iCs/>
          <w:sz w:val="24"/>
          <w:vertAlign w:val="superscript"/>
        </w:rPr>
        <w:t>th</w:t>
      </w:r>
      <w:r w:rsidR="00496CC7" w:rsidRPr="22E6DB4E">
        <w:rPr>
          <w:rStyle w:val="Doctitle"/>
          <w:i/>
          <w:iCs/>
          <w:sz w:val="24"/>
        </w:rPr>
        <w:t xml:space="preserve"> </w:t>
      </w:r>
      <w:r w:rsidR="56DED660" w:rsidRPr="22E6DB4E">
        <w:rPr>
          <w:rStyle w:val="Doctitle"/>
          <w:i/>
          <w:iCs/>
          <w:sz w:val="24"/>
        </w:rPr>
        <w:t>March</w:t>
      </w:r>
      <w:r w:rsidR="00496CC7" w:rsidRPr="22E6DB4E">
        <w:rPr>
          <w:rStyle w:val="Doctitle"/>
          <w:i/>
          <w:iCs/>
          <w:sz w:val="24"/>
        </w:rPr>
        <w:t xml:space="preserve"> 2025</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945"/>
      </w:tblGrid>
      <w:tr w:rsidR="00B067AB" w:rsidRPr="00BA04D0" w14:paraId="6755DDCC" w14:textId="77777777" w:rsidTr="005769C6">
        <w:tc>
          <w:tcPr>
            <w:tcW w:w="2502" w:type="dxa"/>
            <w:shd w:val="clear" w:color="auto" w:fill="auto"/>
          </w:tcPr>
          <w:p w14:paraId="25A17371" w14:textId="77777777" w:rsidR="00B067AB" w:rsidRPr="00BA04D0" w:rsidRDefault="00B067AB" w:rsidP="005769C6">
            <w:pPr>
              <w:spacing w:before="120" w:after="120"/>
              <w:rPr>
                <w:rFonts w:cs="Arial"/>
              </w:rPr>
            </w:pPr>
            <w:r w:rsidRPr="00BA04D0">
              <w:rPr>
                <w:rFonts w:cs="Arial"/>
              </w:rPr>
              <w:t>Title:</w:t>
            </w:r>
          </w:p>
        </w:tc>
        <w:tc>
          <w:tcPr>
            <w:tcW w:w="6945" w:type="dxa"/>
            <w:shd w:val="clear" w:color="auto" w:fill="auto"/>
          </w:tcPr>
          <w:p w14:paraId="3DD67511" w14:textId="3EECA271" w:rsidR="00B067AB" w:rsidRPr="004B69AA" w:rsidRDefault="00B067AB" w:rsidP="00496CC7">
            <w:pPr>
              <w:spacing w:before="120" w:after="120"/>
              <w:rPr>
                <w:rFonts w:cs="Arial"/>
                <w:iCs/>
              </w:rPr>
            </w:pPr>
            <w:r w:rsidRPr="004B69AA">
              <w:rPr>
                <w:rFonts w:cs="Arial"/>
                <w:iCs/>
              </w:rPr>
              <w:t xml:space="preserve">Learning from Deaths Quarterly Report </w:t>
            </w:r>
            <w:r w:rsidR="00630F8C">
              <w:rPr>
                <w:rFonts w:cs="Arial"/>
                <w:iCs/>
              </w:rPr>
              <w:t>Q</w:t>
            </w:r>
            <w:r w:rsidR="00496CC7">
              <w:rPr>
                <w:rFonts w:cs="Arial"/>
                <w:iCs/>
              </w:rPr>
              <w:t>3</w:t>
            </w:r>
            <w:r w:rsidRPr="004B69AA">
              <w:rPr>
                <w:rFonts w:cs="Arial"/>
                <w:iCs/>
              </w:rPr>
              <w:t xml:space="preserve">: </w:t>
            </w:r>
            <w:r w:rsidR="00496CC7">
              <w:rPr>
                <w:rFonts w:cs="Arial"/>
                <w:iCs/>
              </w:rPr>
              <w:t>Oct-Dec</w:t>
            </w:r>
            <w:r w:rsidR="007D36C0">
              <w:rPr>
                <w:rFonts w:cs="Arial"/>
                <w:iCs/>
              </w:rPr>
              <w:t xml:space="preserve"> 2024</w:t>
            </w:r>
            <w:r w:rsidRPr="004B69AA">
              <w:rPr>
                <w:rFonts w:cs="Arial"/>
                <w:iCs/>
              </w:rPr>
              <w:t xml:space="preserve"> </w:t>
            </w:r>
          </w:p>
        </w:tc>
      </w:tr>
      <w:tr w:rsidR="00B067AB" w:rsidRPr="00BA04D0" w14:paraId="79F755BC" w14:textId="77777777" w:rsidTr="005769C6">
        <w:trPr>
          <w:trHeight w:val="416"/>
        </w:trPr>
        <w:tc>
          <w:tcPr>
            <w:tcW w:w="2502" w:type="dxa"/>
            <w:shd w:val="clear" w:color="auto" w:fill="auto"/>
          </w:tcPr>
          <w:p w14:paraId="642AC608" w14:textId="77777777" w:rsidR="00B067AB" w:rsidRPr="00BA04D0" w:rsidRDefault="00B067AB" w:rsidP="005769C6">
            <w:pPr>
              <w:spacing w:before="120" w:after="120"/>
              <w:rPr>
                <w:rFonts w:cs="Arial"/>
              </w:rPr>
            </w:pPr>
            <w:r w:rsidRPr="00BA04D0">
              <w:rPr>
                <w:rFonts w:cs="Arial"/>
              </w:rPr>
              <w:t>Responsible Director:</w:t>
            </w:r>
          </w:p>
        </w:tc>
        <w:tc>
          <w:tcPr>
            <w:tcW w:w="6945" w:type="dxa"/>
            <w:shd w:val="clear" w:color="auto" w:fill="auto"/>
          </w:tcPr>
          <w:p w14:paraId="57FC0276" w14:textId="77777777" w:rsidR="00B067AB" w:rsidRPr="00BA04D0" w:rsidRDefault="00B067AB" w:rsidP="005769C6">
            <w:pPr>
              <w:spacing w:before="120" w:after="120"/>
              <w:rPr>
                <w:rFonts w:cs="Arial"/>
              </w:rPr>
            </w:pPr>
            <w:r>
              <w:rPr>
                <w:rFonts w:cs="Arial"/>
              </w:rPr>
              <w:t>Executive Medical Director</w:t>
            </w:r>
          </w:p>
        </w:tc>
      </w:tr>
      <w:tr w:rsidR="00B067AB" w:rsidRPr="00BA04D0" w14:paraId="210584A4" w14:textId="77777777" w:rsidTr="005769C6">
        <w:tc>
          <w:tcPr>
            <w:tcW w:w="2502" w:type="dxa"/>
            <w:shd w:val="clear" w:color="auto" w:fill="auto"/>
          </w:tcPr>
          <w:p w14:paraId="20A10A94" w14:textId="77777777" w:rsidR="00B067AB" w:rsidRPr="00BA04D0" w:rsidRDefault="00B067AB" w:rsidP="005769C6">
            <w:pPr>
              <w:spacing w:before="120" w:after="120"/>
              <w:rPr>
                <w:rFonts w:cs="Arial"/>
              </w:rPr>
            </w:pPr>
            <w:r w:rsidRPr="00BA04D0">
              <w:rPr>
                <w:rFonts w:cs="Arial"/>
              </w:rPr>
              <w:t>Author:</w:t>
            </w:r>
          </w:p>
        </w:tc>
        <w:tc>
          <w:tcPr>
            <w:tcW w:w="6945" w:type="dxa"/>
            <w:shd w:val="clear" w:color="auto" w:fill="auto"/>
          </w:tcPr>
          <w:p w14:paraId="5D1F9E37" w14:textId="77777777" w:rsidR="00B067AB" w:rsidRPr="00BA04D0" w:rsidRDefault="00B067AB" w:rsidP="005769C6">
            <w:pPr>
              <w:spacing w:before="120" w:after="120"/>
              <w:rPr>
                <w:rFonts w:cs="Arial"/>
              </w:rPr>
            </w:pPr>
            <w:r>
              <w:rPr>
                <w:rFonts w:cs="Arial"/>
              </w:rPr>
              <w:t>Deputy Medical Director for Quality and Safety</w:t>
            </w:r>
          </w:p>
        </w:tc>
      </w:tr>
    </w:tbl>
    <w:p w14:paraId="6BBE4731" w14:textId="77777777" w:rsidR="00B067AB" w:rsidRPr="00C402AB" w:rsidRDefault="00B067AB" w:rsidP="005769C6">
      <w:pPr>
        <w:spacing w:before="0" w:after="0"/>
        <w:rPr>
          <w:rFonts w:cs="Arial"/>
          <w: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021"/>
        <w:gridCol w:w="906"/>
      </w:tblGrid>
      <w:tr w:rsidR="00B067AB" w:rsidRPr="00BA04D0" w14:paraId="6C5F5F99" w14:textId="77777777" w:rsidTr="005769C6">
        <w:tc>
          <w:tcPr>
            <w:tcW w:w="2520" w:type="dxa"/>
            <w:shd w:val="clear" w:color="auto" w:fill="auto"/>
          </w:tcPr>
          <w:p w14:paraId="7DBE04CE" w14:textId="77777777" w:rsidR="00B067AB" w:rsidRPr="00BA04D0" w:rsidRDefault="00B067AB" w:rsidP="005769C6">
            <w:pPr>
              <w:rPr>
                <w:rFonts w:cs="Arial"/>
              </w:rPr>
            </w:pPr>
            <w:r w:rsidRPr="00BA04D0">
              <w:rPr>
                <w:rFonts w:cs="Arial"/>
              </w:rPr>
              <w:t>Purpose of the report</w:t>
            </w:r>
            <w:r>
              <w:rPr>
                <w:rFonts w:cs="Arial"/>
              </w:rPr>
              <w:t xml:space="preserve"> and summary of key issues</w:t>
            </w:r>
            <w:r w:rsidRPr="00BA04D0">
              <w:rPr>
                <w:rFonts w:cs="Arial"/>
              </w:rPr>
              <w:t>:</w:t>
            </w:r>
          </w:p>
          <w:p w14:paraId="7DCB4326" w14:textId="77777777" w:rsidR="00B067AB" w:rsidRPr="00BA04D0" w:rsidRDefault="00B067AB" w:rsidP="005769C6">
            <w:pPr>
              <w:rPr>
                <w:rFonts w:cs="Arial"/>
              </w:rPr>
            </w:pPr>
          </w:p>
        </w:tc>
        <w:tc>
          <w:tcPr>
            <w:tcW w:w="6927" w:type="dxa"/>
            <w:gridSpan w:val="2"/>
            <w:shd w:val="clear" w:color="auto" w:fill="auto"/>
          </w:tcPr>
          <w:p w14:paraId="79DC13CB" w14:textId="77777777" w:rsidR="00B067AB" w:rsidRPr="004B69AA" w:rsidRDefault="00B067AB" w:rsidP="005769C6">
            <w:pPr>
              <w:spacing w:before="120" w:after="120"/>
              <w:rPr>
                <w:rFonts w:cs="Arial"/>
                <w:iCs/>
              </w:rPr>
            </w:pPr>
            <w:r w:rsidRPr="004B69AA">
              <w:rPr>
                <w:rFonts w:cs="Arial"/>
                <w:iCs/>
              </w:rPr>
              <w:t>The board is asked to note the surveillance of mortality indices across the trust.</w:t>
            </w:r>
          </w:p>
          <w:p w14:paraId="405A89A5" w14:textId="77777777" w:rsidR="00B067AB" w:rsidRPr="004B69AA" w:rsidRDefault="00B067AB" w:rsidP="00B5266B">
            <w:pPr>
              <w:spacing w:before="120" w:after="120"/>
              <w:rPr>
                <w:rFonts w:cs="Arial"/>
                <w:i/>
              </w:rPr>
            </w:pPr>
          </w:p>
        </w:tc>
      </w:tr>
      <w:tr w:rsidR="00B067AB" w:rsidRPr="00BA04D0" w14:paraId="2A6199D5" w14:textId="77777777" w:rsidTr="005769C6">
        <w:tc>
          <w:tcPr>
            <w:tcW w:w="2520" w:type="dxa"/>
            <w:vMerge w:val="restart"/>
            <w:shd w:val="clear" w:color="auto" w:fill="auto"/>
          </w:tcPr>
          <w:p w14:paraId="21E35690" w14:textId="77777777" w:rsidR="00B067AB" w:rsidRPr="00BA04D0" w:rsidRDefault="00B067AB" w:rsidP="005769C6">
            <w:pPr>
              <w:rPr>
                <w:rFonts w:cs="Arial"/>
              </w:rPr>
            </w:pPr>
            <w:r>
              <w:rPr>
                <w:rFonts w:cs="Arial"/>
              </w:rPr>
              <w:t>BAF Risk:</w:t>
            </w:r>
          </w:p>
        </w:tc>
        <w:tc>
          <w:tcPr>
            <w:tcW w:w="6927" w:type="dxa"/>
            <w:gridSpan w:val="2"/>
            <w:shd w:val="clear" w:color="auto" w:fill="D9D9D9"/>
          </w:tcPr>
          <w:p w14:paraId="297C8E08" w14:textId="77777777" w:rsidR="00B067AB" w:rsidRPr="004555E3" w:rsidRDefault="00B067AB" w:rsidP="005769C6">
            <w:pPr>
              <w:spacing w:before="0" w:after="0"/>
              <w:rPr>
                <w:rFonts w:cs="Arial"/>
                <w:sz w:val="20"/>
              </w:rPr>
            </w:pPr>
            <w:r w:rsidRPr="004555E3">
              <w:rPr>
                <w:rFonts w:cs="Arial"/>
                <w:sz w:val="20"/>
              </w:rPr>
              <w:t>AIM 1: To be an outstanding place to work</w:t>
            </w:r>
          </w:p>
        </w:tc>
      </w:tr>
      <w:tr w:rsidR="00B067AB" w:rsidRPr="00BA04D0" w14:paraId="0D26A877" w14:textId="77777777" w:rsidTr="005769C6">
        <w:tc>
          <w:tcPr>
            <w:tcW w:w="2520" w:type="dxa"/>
            <w:vMerge/>
            <w:shd w:val="clear" w:color="auto" w:fill="auto"/>
          </w:tcPr>
          <w:p w14:paraId="7D573A72" w14:textId="77777777" w:rsidR="00B067AB" w:rsidRDefault="00B067AB" w:rsidP="005769C6">
            <w:pPr>
              <w:rPr>
                <w:rFonts w:cs="Arial"/>
              </w:rPr>
            </w:pPr>
          </w:p>
        </w:tc>
        <w:tc>
          <w:tcPr>
            <w:tcW w:w="6021" w:type="dxa"/>
            <w:shd w:val="clear" w:color="auto" w:fill="auto"/>
          </w:tcPr>
          <w:p w14:paraId="166A1EDA" w14:textId="77777777" w:rsidR="00B067AB" w:rsidRPr="004555E3" w:rsidRDefault="00B067AB" w:rsidP="005769C6">
            <w:pPr>
              <w:spacing w:before="0" w:after="0"/>
              <w:rPr>
                <w:rFonts w:cs="Arial"/>
                <w:sz w:val="20"/>
              </w:rPr>
            </w:pPr>
            <w:r w:rsidRPr="004555E3">
              <w:rPr>
                <w:rFonts w:cs="Arial"/>
                <w:sz w:val="20"/>
              </w:rPr>
              <w:t>BAF1.1 to be an outstanding place to work</w:t>
            </w:r>
          </w:p>
        </w:tc>
        <w:tc>
          <w:tcPr>
            <w:tcW w:w="906" w:type="dxa"/>
            <w:shd w:val="clear" w:color="auto" w:fill="auto"/>
          </w:tcPr>
          <w:p w14:paraId="002E595B" w14:textId="77777777" w:rsidR="00B067AB" w:rsidRPr="004555E3" w:rsidRDefault="00B067AB" w:rsidP="005769C6">
            <w:pPr>
              <w:spacing w:before="0" w:after="0"/>
              <w:rPr>
                <w:rFonts w:cs="Arial"/>
                <w:sz w:val="20"/>
              </w:rPr>
            </w:pPr>
          </w:p>
        </w:tc>
      </w:tr>
      <w:tr w:rsidR="00B067AB" w:rsidRPr="00BA04D0" w14:paraId="10CEF42D" w14:textId="77777777" w:rsidTr="005769C6">
        <w:tc>
          <w:tcPr>
            <w:tcW w:w="2520" w:type="dxa"/>
            <w:vMerge/>
            <w:shd w:val="clear" w:color="auto" w:fill="auto"/>
          </w:tcPr>
          <w:p w14:paraId="1F199DBF" w14:textId="77777777" w:rsidR="00B067AB" w:rsidRDefault="00B067AB" w:rsidP="005769C6">
            <w:pPr>
              <w:rPr>
                <w:rFonts w:cs="Arial"/>
              </w:rPr>
            </w:pPr>
          </w:p>
        </w:tc>
        <w:tc>
          <w:tcPr>
            <w:tcW w:w="6021" w:type="dxa"/>
            <w:shd w:val="clear" w:color="auto" w:fill="auto"/>
          </w:tcPr>
          <w:p w14:paraId="34C5794D" w14:textId="77777777" w:rsidR="00B067AB" w:rsidRPr="004555E3" w:rsidRDefault="00B067AB" w:rsidP="005769C6">
            <w:pPr>
              <w:spacing w:before="0" w:after="0"/>
              <w:rPr>
                <w:rFonts w:cs="Arial"/>
                <w:sz w:val="20"/>
              </w:rPr>
            </w:pPr>
            <w:r w:rsidRPr="004555E3">
              <w:rPr>
                <w:rFonts w:cs="Arial"/>
                <w:sz w:val="20"/>
              </w:rPr>
              <w:t>BAF1.2 To be an inclusive employer where diversity is celebrated and valued</w:t>
            </w:r>
          </w:p>
        </w:tc>
        <w:tc>
          <w:tcPr>
            <w:tcW w:w="906" w:type="dxa"/>
            <w:shd w:val="clear" w:color="auto" w:fill="auto"/>
          </w:tcPr>
          <w:p w14:paraId="16CB5029" w14:textId="77777777" w:rsidR="00B067AB" w:rsidRPr="004555E3" w:rsidRDefault="00B067AB" w:rsidP="005769C6">
            <w:pPr>
              <w:spacing w:before="0" w:after="0"/>
              <w:rPr>
                <w:rFonts w:cs="Arial"/>
                <w:sz w:val="20"/>
              </w:rPr>
            </w:pPr>
          </w:p>
        </w:tc>
      </w:tr>
      <w:tr w:rsidR="00B067AB" w:rsidRPr="00BA04D0" w14:paraId="11825582" w14:textId="77777777" w:rsidTr="005769C6">
        <w:tc>
          <w:tcPr>
            <w:tcW w:w="2520" w:type="dxa"/>
            <w:vMerge/>
            <w:shd w:val="clear" w:color="auto" w:fill="auto"/>
          </w:tcPr>
          <w:p w14:paraId="6E7A11D0" w14:textId="77777777" w:rsidR="00B067AB" w:rsidRDefault="00B067AB" w:rsidP="005769C6">
            <w:pPr>
              <w:rPr>
                <w:rFonts w:cs="Arial"/>
              </w:rPr>
            </w:pPr>
          </w:p>
        </w:tc>
        <w:tc>
          <w:tcPr>
            <w:tcW w:w="6927" w:type="dxa"/>
            <w:gridSpan w:val="2"/>
            <w:shd w:val="clear" w:color="auto" w:fill="D9D9D9"/>
          </w:tcPr>
          <w:p w14:paraId="5C0A483E" w14:textId="77777777" w:rsidR="00B067AB" w:rsidRPr="004555E3" w:rsidRDefault="00B067AB" w:rsidP="005769C6">
            <w:pPr>
              <w:spacing w:before="0" w:after="0"/>
              <w:rPr>
                <w:rFonts w:cs="Arial"/>
                <w:sz w:val="20"/>
              </w:rPr>
            </w:pPr>
            <w:r w:rsidRPr="004555E3">
              <w:rPr>
                <w:rFonts w:cs="Arial"/>
                <w:sz w:val="20"/>
              </w:rPr>
              <w:t>AIM 2: To work with partners to deliver integrated care</w:t>
            </w:r>
          </w:p>
        </w:tc>
      </w:tr>
      <w:tr w:rsidR="00B067AB" w:rsidRPr="00BA04D0" w14:paraId="7334B4A3" w14:textId="77777777" w:rsidTr="005769C6">
        <w:tc>
          <w:tcPr>
            <w:tcW w:w="2520" w:type="dxa"/>
            <w:vMerge/>
            <w:shd w:val="clear" w:color="auto" w:fill="auto"/>
          </w:tcPr>
          <w:p w14:paraId="50170DAE" w14:textId="77777777" w:rsidR="00B067AB" w:rsidRDefault="00B067AB" w:rsidP="005769C6">
            <w:pPr>
              <w:rPr>
                <w:rFonts w:cs="Arial"/>
              </w:rPr>
            </w:pPr>
          </w:p>
        </w:tc>
        <w:tc>
          <w:tcPr>
            <w:tcW w:w="6021" w:type="dxa"/>
            <w:shd w:val="clear" w:color="auto" w:fill="auto"/>
          </w:tcPr>
          <w:p w14:paraId="1F74A18E" w14:textId="77777777" w:rsidR="00B067AB" w:rsidRPr="004555E3" w:rsidRDefault="00B067AB" w:rsidP="005769C6">
            <w:pPr>
              <w:spacing w:before="0" w:after="0"/>
              <w:rPr>
                <w:rFonts w:cs="Arial"/>
                <w:sz w:val="20"/>
              </w:rPr>
            </w:pPr>
            <w:r w:rsidRPr="004555E3">
              <w:rPr>
                <w:rFonts w:cs="Arial"/>
                <w:sz w:val="20"/>
              </w:rPr>
              <w:t>BAF2.1 To improve population health and wellbeing, provide integrated care and to support primary care</w:t>
            </w:r>
          </w:p>
        </w:tc>
        <w:tc>
          <w:tcPr>
            <w:tcW w:w="906" w:type="dxa"/>
            <w:shd w:val="clear" w:color="auto" w:fill="auto"/>
          </w:tcPr>
          <w:p w14:paraId="58669A27" w14:textId="77777777" w:rsidR="00B067AB" w:rsidRPr="004555E3" w:rsidRDefault="00B067AB" w:rsidP="005769C6">
            <w:pPr>
              <w:spacing w:before="0" w:after="0"/>
              <w:rPr>
                <w:rFonts w:cs="Arial"/>
                <w:sz w:val="20"/>
              </w:rPr>
            </w:pPr>
            <w:r>
              <w:rPr>
                <w:rFonts w:cs="Arial"/>
                <w:sz w:val="20"/>
              </w:rPr>
              <w:t>X</w:t>
            </w:r>
          </w:p>
        </w:tc>
      </w:tr>
      <w:tr w:rsidR="00B067AB" w:rsidRPr="00BA04D0" w14:paraId="4D05C63F" w14:textId="77777777" w:rsidTr="005769C6">
        <w:tc>
          <w:tcPr>
            <w:tcW w:w="2520" w:type="dxa"/>
            <w:vMerge/>
            <w:shd w:val="clear" w:color="auto" w:fill="auto"/>
          </w:tcPr>
          <w:p w14:paraId="4802D5B0" w14:textId="77777777" w:rsidR="00B067AB" w:rsidRDefault="00B067AB" w:rsidP="005769C6">
            <w:pPr>
              <w:rPr>
                <w:rFonts w:cs="Arial"/>
              </w:rPr>
            </w:pPr>
          </w:p>
        </w:tc>
        <w:tc>
          <w:tcPr>
            <w:tcW w:w="6021" w:type="dxa"/>
            <w:shd w:val="clear" w:color="auto" w:fill="auto"/>
          </w:tcPr>
          <w:p w14:paraId="2FCCA02C" w14:textId="77777777" w:rsidR="00B067AB" w:rsidRPr="004555E3" w:rsidRDefault="00B067AB" w:rsidP="005769C6">
            <w:pPr>
              <w:spacing w:before="0" w:after="0"/>
              <w:rPr>
                <w:rFonts w:cs="Arial"/>
                <w:sz w:val="20"/>
              </w:rPr>
            </w:pPr>
            <w:r w:rsidRPr="004555E3">
              <w:rPr>
                <w:rFonts w:cs="Arial"/>
                <w:sz w:val="20"/>
              </w:rPr>
              <w:t>BAF2.2 To be an active partner in population health and the transformation of health inequalities</w:t>
            </w:r>
          </w:p>
        </w:tc>
        <w:tc>
          <w:tcPr>
            <w:tcW w:w="906" w:type="dxa"/>
            <w:shd w:val="clear" w:color="auto" w:fill="auto"/>
          </w:tcPr>
          <w:p w14:paraId="58298CA7" w14:textId="77777777" w:rsidR="00B067AB" w:rsidRPr="004555E3" w:rsidRDefault="00B067AB" w:rsidP="005769C6">
            <w:pPr>
              <w:spacing w:before="0" w:after="0"/>
              <w:rPr>
                <w:rFonts w:cs="Arial"/>
                <w:sz w:val="20"/>
              </w:rPr>
            </w:pPr>
          </w:p>
        </w:tc>
      </w:tr>
      <w:tr w:rsidR="00B067AB" w:rsidRPr="00BA04D0" w14:paraId="76763492" w14:textId="77777777" w:rsidTr="005769C6">
        <w:tc>
          <w:tcPr>
            <w:tcW w:w="2520" w:type="dxa"/>
            <w:vMerge/>
            <w:shd w:val="clear" w:color="auto" w:fill="auto"/>
          </w:tcPr>
          <w:p w14:paraId="71934815" w14:textId="77777777" w:rsidR="00B067AB" w:rsidRDefault="00B067AB" w:rsidP="005769C6">
            <w:pPr>
              <w:rPr>
                <w:rFonts w:cs="Arial"/>
              </w:rPr>
            </w:pPr>
          </w:p>
        </w:tc>
        <w:tc>
          <w:tcPr>
            <w:tcW w:w="6927" w:type="dxa"/>
            <w:gridSpan w:val="2"/>
            <w:shd w:val="clear" w:color="auto" w:fill="D9D9D9"/>
          </w:tcPr>
          <w:p w14:paraId="3A414EBB" w14:textId="77777777" w:rsidR="00B067AB" w:rsidRPr="004555E3" w:rsidRDefault="00B067AB" w:rsidP="005769C6">
            <w:pPr>
              <w:spacing w:before="0" w:after="0"/>
              <w:rPr>
                <w:rFonts w:cs="Arial"/>
                <w:sz w:val="20"/>
              </w:rPr>
            </w:pPr>
            <w:r w:rsidRPr="004555E3">
              <w:rPr>
                <w:rFonts w:cs="Arial"/>
                <w:sz w:val="20"/>
              </w:rPr>
              <w:t>AIM 3: To deliver high quality care</w:t>
            </w:r>
          </w:p>
        </w:tc>
      </w:tr>
      <w:tr w:rsidR="00B067AB" w:rsidRPr="00BA04D0" w14:paraId="04B83D3A" w14:textId="77777777" w:rsidTr="005769C6">
        <w:tc>
          <w:tcPr>
            <w:tcW w:w="2520" w:type="dxa"/>
            <w:vMerge/>
            <w:shd w:val="clear" w:color="auto" w:fill="auto"/>
          </w:tcPr>
          <w:p w14:paraId="2FCBC0AC" w14:textId="77777777" w:rsidR="00B067AB" w:rsidRDefault="00B067AB" w:rsidP="005769C6">
            <w:pPr>
              <w:rPr>
                <w:rFonts w:cs="Arial"/>
              </w:rPr>
            </w:pPr>
          </w:p>
        </w:tc>
        <w:tc>
          <w:tcPr>
            <w:tcW w:w="6021" w:type="dxa"/>
            <w:shd w:val="clear" w:color="auto" w:fill="auto"/>
          </w:tcPr>
          <w:p w14:paraId="36AB553C" w14:textId="77777777" w:rsidR="00B067AB" w:rsidRPr="004555E3" w:rsidRDefault="00B067AB" w:rsidP="005769C6">
            <w:pPr>
              <w:spacing w:before="0" w:after="0"/>
              <w:rPr>
                <w:rFonts w:cs="Arial"/>
                <w:sz w:val="20"/>
              </w:rPr>
            </w:pPr>
            <w:r w:rsidRPr="004555E3">
              <w:rPr>
                <w:rFonts w:cs="Arial"/>
                <w:sz w:val="20"/>
              </w:rPr>
              <w:t xml:space="preserve">BAF3.1 and 3.4 To provide outstanding care and outstanding patient experience </w:t>
            </w:r>
          </w:p>
        </w:tc>
        <w:tc>
          <w:tcPr>
            <w:tcW w:w="906" w:type="dxa"/>
            <w:shd w:val="clear" w:color="auto" w:fill="auto"/>
          </w:tcPr>
          <w:p w14:paraId="65F1B4F6" w14:textId="77777777" w:rsidR="00B067AB" w:rsidRPr="004555E3" w:rsidRDefault="00B067AB" w:rsidP="005769C6">
            <w:pPr>
              <w:spacing w:before="0" w:after="0"/>
              <w:rPr>
                <w:rFonts w:cs="Arial"/>
                <w:sz w:val="20"/>
              </w:rPr>
            </w:pPr>
            <w:r>
              <w:rPr>
                <w:rFonts w:cs="Arial"/>
                <w:sz w:val="20"/>
              </w:rPr>
              <w:t>X</w:t>
            </w:r>
          </w:p>
        </w:tc>
      </w:tr>
      <w:tr w:rsidR="00B067AB" w:rsidRPr="00BA04D0" w14:paraId="47F2C97E" w14:textId="77777777" w:rsidTr="005769C6">
        <w:tc>
          <w:tcPr>
            <w:tcW w:w="2520" w:type="dxa"/>
            <w:vMerge/>
            <w:shd w:val="clear" w:color="auto" w:fill="auto"/>
          </w:tcPr>
          <w:p w14:paraId="2B119737" w14:textId="77777777" w:rsidR="00B067AB" w:rsidRDefault="00B067AB" w:rsidP="005769C6">
            <w:pPr>
              <w:rPr>
                <w:rFonts w:cs="Arial"/>
              </w:rPr>
            </w:pPr>
          </w:p>
        </w:tc>
        <w:tc>
          <w:tcPr>
            <w:tcW w:w="6021" w:type="dxa"/>
            <w:shd w:val="clear" w:color="auto" w:fill="auto"/>
          </w:tcPr>
          <w:p w14:paraId="5CE2D4D9" w14:textId="77777777" w:rsidR="00B067AB" w:rsidRPr="004555E3" w:rsidRDefault="00B067AB" w:rsidP="005769C6">
            <w:pPr>
              <w:spacing w:before="0" w:after="0"/>
              <w:rPr>
                <w:rFonts w:cs="Arial"/>
                <w:sz w:val="20"/>
              </w:rPr>
            </w:pPr>
            <w:r w:rsidRPr="004555E3">
              <w:rPr>
                <w:rFonts w:cs="Arial"/>
                <w:sz w:val="20"/>
              </w:rPr>
              <w:t>BAF3.2 To provide a high quality service</w:t>
            </w:r>
          </w:p>
        </w:tc>
        <w:tc>
          <w:tcPr>
            <w:tcW w:w="906" w:type="dxa"/>
            <w:shd w:val="clear" w:color="auto" w:fill="auto"/>
          </w:tcPr>
          <w:p w14:paraId="050C67B2" w14:textId="77777777" w:rsidR="00B067AB" w:rsidRPr="004555E3" w:rsidRDefault="00B067AB" w:rsidP="005769C6">
            <w:pPr>
              <w:spacing w:before="0" w:after="0"/>
              <w:rPr>
                <w:rFonts w:cs="Arial"/>
                <w:sz w:val="20"/>
              </w:rPr>
            </w:pPr>
            <w:r>
              <w:rPr>
                <w:rFonts w:cs="Arial"/>
                <w:sz w:val="20"/>
              </w:rPr>
              <w:t>X</w:t>
            </w:r>
          </w:p>
        </w:tc>
      </w:tr>
      <w:tr w:rsidR="00B067AB" w:rsidRPr="00BA04D0" w14:paraId="51F520F8" w14:textId="77777777" w:rsidTr="005769C6">
        <w:tc>
          <w:tcPr>
            <w:tcW w:w="2520" w:type="dxa"/>
            <w:vMerge/>
            <w:shd w:val="clear" w:color="auto" w:fill="auto"/>
          </w:tcPr>
          <w:p w14:paraId="4828B898" w14:textId="77777777" w:rsidR="00B067AB" w:rsidRDefault="00B067AB" w:rsidP="005769C6">
            <w:pPr>
              <w:rPr>
                <w:rFonts w:cs="Arial"/>
              </w:rPr>
            </w:pPr>
          </w:p>
        </w:tc>
        <w:tc>
          <w:tcPr>
            <w:tcW w:w="6021" w:type="dxa"/>
            <w:shd w:val="clear" w:color="auto" w:fill="auto"/>
          </w:tcPr>
          <w:p w14:paraId="5D3E868B" w14:textId="77777777" w:rsidR="00B067AB" w:rsidRPr="004555E3" w:rsidRDefault="00B067AB" w:rsidP="005769C6">
            <w:pPr>
              <w:spacing w:before="0" w:after="0"/>
              <w:rPr>
                <w:rFonts w:cs="Arial"/>
                <w:sz w:val="20"/>
              </w:rPr>
            </w:pPr>
            <w:r w:rsidRPr="004555E3">
              <w:rPr>
                <w:rFonts w:cs="Arial"/>
                <w:sz w:val="20"/>
              </w:rPr>
              <w:t>BAF3.3 To provide high quality care to children and young people in adults community services</w:t>
            </w:r>
          </w:p>
        </w:tc>
        <w:tc>
          <w:tcPr>
            <w:tcW w:w="906" w:type="dxa"/>
            <w:shd w:val="clear" w:color="auto" w:fill="auto"/>
          </w:tcPr>
          <w:p w14:paraId="42BC6ED8" w14:textId="77777777" w:rsidR="00B067AB" w:rsidRPr="004555E3" w:rsidRDefault="00B067AB" w:rsidP="005769C6">
            <w:pPr>
              <w:spacing w:before="0" w:after="0"/>
              <w:rPr>
                <w:rFonts w:cs="Arial"/>
                <w:sz w:val="20"/>
              </w:rPr>
            </w:pPr>
          </w:p>
        </w:tc>
      </w:tr>
      <w:tr w:rsidR="00B067AB" w:rsidRPr="00BA04D0" w14:paraId="6CAB2683" w14:textId="77777777" w:rsidTr="005769C6">
        <w:tc>
          <w:tcPr>
            <w:tcW w:w="2520" w:type="dxa"/>
            <w:vMerge/>
            <w:shd w:val="clear" w:color="auto" w:fill="auto"/>
          </w:tcPr>
          <w:p w14:paraId="43FEB564" w14:textId="77777777" w:rsidR="00B067AB" w:rsidRDefault="00B067AB" w:rsidP="005769C6">
            <w:pPr>
              <w:rPr>
                <w:rFonts w:cs="Arial"/>
              </w:rPr>
            </w:pPr>
          </w:p>
        </w:tc>
        <w:tc>
          <w:tcPr>
            <w:tcW w:w="6021" w:type="dxa"/>
            <w:shd w:val="clear" w:color="auto" w:fill="auto"/>
          </w:tcPr>
          <w:p w14:paraId="1D819B5E" w14:textId="77777777" w:rsidR="00B067AB" w:rsidRPr="004555E3" w:rsidRDefault="00B067AB" w:rsidP="005769C6">
            <w:pPr>
              <w:spacing w:before="0" w:after="0"/>
              <w:rPr>
                <w:rFonts w:cs="Arial"/>
                <w:sz w:val="20"/>
              </w:rPr>
            </w:pPr>
            <w:r w:rsidRPr="004555E3">
              <w:rPr>
                <w:rFonts w:cs="Arial"/>
                <w:sz w:val="20"/>
              </w:rPr>
              <w:t>BAF3.5 To provide high quality public health 0-19 services</w:t>
            </w:r>
          </w:p>
        </w:tc>
        <w:tc>
          <w:tcPr>
            <w:tcW w:w="906" w:type="dxa"/>
            <w:shd w:val="clear" w:color="auto" w:fill="auto"/>
          </w:tcPr>
          <w:p w14:paraId="1032170E" w14:textId="77777777" w:rsidR="00B067AB" w:rsidRPr="004555E3" w:rsidRDefault="00B067AB" w:rsidP="005769C6">
            <w:pPr>
              <w:spacing w:before="0" w:after="0"/>
              <w:rPr>
                <w:rFonts w:cs="Arial"/>
                <w:sz w:val="20"/>
              </w:rPr>
            </w:pPr>
          </w:p>
        </w:tc>
      </w:tr>
      <w:tr w:rsidR="00B067AB" w:rsidRPr="00BA04D0" w14:paraId="59F11EA6" w14:textId="77777777" w:rsidTr="005769C6">
        <w:tc>
          <w:tcPr>
            <w:tcW w:w="2520" w:type="dxa"/>
            <w:vMerge/>
            <w:shd w:val="clear" w:color="auto" w:fill="auto"/>
          </w:tcPr>
          <w:p w14:paraId="7CF152CB" w14:textId="77777777" w:rsidR="00B067AB" w:rsidRDefault="00B067AB" w:rsidP="005769C6">
            <w:pPr>
              <w:rPr>
                <w:rFonts w:cs="Arial"/>
              </w:rPr>
            </w:pPr>
          </w:p>
        </w:tc>
        <w:tc>
          <w:tcPr>
            <w:tcW w:w="6927" w:type="dxa"/>
            <w:gridSpan w:val="2"/>
            <w:shd w:val="clear" w:color="auto" w:fill="D9D9D9"/>
          </w:tcPr>
          <w:p w14:paraId="51022277" w14:textId="77777777" w:rsidR="00B067AB" w:rsidRPr="004555E3" w:rsidRDefault="00B067AB" w:rsidP="005769C6">
            <w:pPr>
              <w:spacing w:before="0" w:after="0"/>
              <w:rPr>
                <w:rFonts w:cs="Arial"/>
                <w:sz w:val="20"/>
              </w:rPr>
            </w:pPr>
            <w:r w:rsidRPr="004555E3">
              <w:rPr>
                <w:rFonts w:cs="Arial"/>
                <w:sz w:val="20"/>
              </w:rPr>
              <w:t>AIM 4: To ensure clinical and financial sustainability</w:t>
            </w:r>
          </w:p>
        </w:tc>
      </w:tr>
      <w:tr w:rsidR="00B067AB" w:rsidRPr="00BA04D0" w14:paraId="58F53EAA" w14:textId="77777777" w:rsidTr="005769C6">
        <w:tc>
          <w:tcPr>
            <w:tcW w:w="2520" w:type="dxa"/>
            <w:vMerge/>
            <w:shd w:val="clear" w:color="auto" w:fill="auto"/>
          </w:tcPr>
          <w:p w14:paraId="1231A3F8" w14:textId="77777777" w:rsidR="00B067AB" w:rsidRDefault="00B067AB" w:rsidP="005769C6">
            <w:pPr>
              <w:rPr>
                <w:rFonts w:cs="Arial"/>
              </w:rPr>
            </w:pPr>
          </w:p>
        </w:tc>
        <w:tc>
          <w:tcPr>
            <w:tcW w:w="6021" w:type="dxa"/>
            <w:shd w:val="clear" w:color="auto" w:fill="auto"/>
          </w:tcPr>
          <w:p w14:paraId="156C1685" w14:textId="77777777" w:rsidR="00B067AB" w:rsidRPr="004555E3" w:rsidRDefault="00B067AB" w:rsidP="005769C6">
            <w:pPr>
              <w:spacing w:before="0" w:after="0"/>
              <w:rPr>
                <w:rFonts w:cs="Arial"/>
                <w:sz w:val="20"/>
              </w:rPr>
            </w:pPr>
            <w:r w:rsidRPr="004555E3">
              <w:rPr>
                <w:rFonts w:cs="Arial"/>
                <w:sz w:val="20"/>
              </w:rPr>
              <w:t>BAF4.1 To continually improve services we  provide to our population in a way that are more efficient</w:t>
            </w:r>
          </w:p>
        </w:tc>
        <w:tc>
          <w:tcPr>
            <w:tcW w:w="906" w:type="dxa"/>
            <w:shd w:val="clear" w:color="auto" w:fill="auto"/>
          </w:tcPr>
          <w:p w14:paraId="6EA8B359" w14:textId="77777777" w:rsidR="00B067AB" w:rsidRPr="004555E3" w:rsidRDefault="00B067AB" w:rsidP="005769C6">
            <w:pPr>
              <w:spacing w:before="0" w:after="0"/>
              <w:rPr>
                <w:rFonts w:cs="Arial"/>
                <w:sz w:val="20"/>
              </w:rPr>
            </w:pPr>
          </w:p>
        </w:tc>
      </w:tr>
      <w:tr w:rsidR="00B067AB" w:rsidRPr="00BA04D0" w14:paraId="1F597EB9" w14:textId="77777777" w:rsidTr="005769C6">
        <w:tc>
          <w:tcPr>
            <w:tcW w:w="2520" w:type="dxa"/>
            <w:vMerge/>
            <w:shd w:val="clear" w:color="auto" w:fill="auto"/>
          </w:tcPr>
          <w:p w14:paraId="5371D7CC" w14:textId="77777777" w:rsidR="00B067AB" w:rsidRDefault="00B067AB" w:rsidP="005769C6">
            <w:pPr>
              <w:rPr>
                <w:rFonts w:cs="Arial"/>
              </w:rPr>
            </w:pPr>
          </w:p>
        </w:tc>
        <w:tc>
          <w:tcPr>
            <w:tcW w:w="6021" w:type="dxa"/>
            <w:shd w:val="clear" w:color="auto" w:fill="auto"/>
          </w:tcPr>
          <w:p w14:paraId="5170975B" w14:textId="77777777" w:rsidR="00B067AB" w:rsidRPr="004555E3" w:rsidRDefault="00B067AB" w:rsidP="005769C6">
            <w:pPr>
              <w:spacing w:before="0" w:after="0"/>
              <w:rPr>
                <w:rFonts w:cs="Arial"/>
                <w:sz w:val="20"/>
              </w:rPr>
            </w:pPr>
            <w:r w:rsidRPr="004555E3">
              <w:rPr>
                <w:rFonts w:cs="Arial"/>
                <w:sz w:val="20"/>
              </w:rPr>
              <w:t>BAF4.2 and 4.3 To provide high quality care and to be a financially sustainable organisation</w:t>
            </w:r>
          </w:p>
        </w:tc>
        <w:tc>
          <w:tcPr>
            <w:tcW w:w="906" w:type="dxa"/>
            <w:shd w:val="clear" w:color="auto" w:fill="auto"/>
          </w:tcPr>
          <w:p w14:paraId="676B6DA0" w14:textId="77777777" w:rsidR="00B067AB" w:rsidRPr="004555E3" w:rsidRDefault="00B067AB" w:rsidP="005769C6">
            <w:pPr>
              <w:spacing w:before="0" w:after="0"/>
              <w:rPr>
                <w:rFonts w:cs="Arial"/>
                <w:sz w:val="20"/>
              </w:rPr>
            </w:pPr>
          </w:p>
        </w:tc>
      </w:tr>
      <w:tr w:rsidR="00B067AB" w:rsidRPr="00BA04D0" w14:paraId="187507CE" w14:textId="77777777" w:rsidTr="005769C6">
        <w:tc>
          <w:tcPr>
            <w:tcW w:w="2520" w:type="dxa"/>
            <w:vMerge/>
            <w:shd w:val="clear" w:color="auto" w:fill="auto"/>
          </w:tcPr>
          <w:p w14:paraId="475F52C1" w14:textId="77777777" w:rsidR="00B067AB" w:rsidRDefault="00B067AB" w:rsidP="005769C6">
            <w:pPr>
              <w:rPr>
                <w:rFonts w:cs="Arial"/>
              </w:rPr>
            </w:pPr>
          </w:p>
        </w:tc>
        <w:tc>
          <w:tcPr>
            <w:tcW w:w="6021" w:type="dxa"/>
            <w:shd w:val="clear" w:color="auto" w:fill="auto"/>
          </w:tcPr>
          <w:p w14:paraId="2EF67DE5" w14:textId="77777777" w:rsidR="00B067AB" w:rsidRPr="004555E3" w:rsidRDefault="00B067AB" w:rsidP="005769C6">
            <w:pPr>
              <w:spacing w:before="0" w:after="0"/>
              <w:rPr>
                <w:rFonts w:cs="Arial"/>
                <w:sz w:val="20"/>
              </w:rPr>
            </w:pPr>
            <w:r w:rsidRPr="004555E3">
              <w:rPr>
                <w:rFonts w:cs="Arial"/>
                <w:sz w:val="20"/>
              </w:rPr>
              <w:t>BAF4.4 To be financially stable to provide outstanding quality of care</w:t>
            </w:r>
          </w:p>
        </w:tc>
        <w:tc>
          <w:tcPr>
            <w:tcW w:w="906" w:type="dxa"/>
            <w:shd w:val="clear" w:color="auto" w:fill="auto"/>
          </w:tcPr>
          <w:p w14:paraId="4148947B" w14:textId="77777777" w:rsidR="00B067AB" w:rsidRPr="004555E3" w:rsidRDefault="00B067AB" w:rsidP="005769C6">
            <w:pPr>
              <w:spacing w:before="0" w:after="0"/>
              <w:rPr>
                <w:rFonts w:cs="Arial"/>
                <w:sz w:val="20"/>
              </w:rPr>
            </w:pPr>
          </w:p>
        </w:tc>
      </w:tr>
      <w:tr w:rsidR="00B067AB" w:rsidRPr="00BA04D0" w14:paraId="0CE96D72" w14:textId="77777777" w:rsidTr="005769C6">
        <w:tc>
          <w:tcPr>
            <w:tcW w:w="2520" w:type="dxa"/>
            <w:shd w:val="clear" w:color="auto" w:fill="auto"/>
          </w:tcPr>
          <w:p w14:paraId="5CB92A7F" w14:textId="77777777" w:rsidR="00B067AB" w:rsidRDefault="00B067AB" w:rsidP="005769C6">
            <w:pPr>
              <w:spacing w:before="120" w:after="120"/>
              <w:rPr>
                <w:rFonts w:cs="Arial"/>
              </w:rPr>
            </w:pPr>
            <w:r>
              <w:rPr>
                <w:rFonts w:cs="Arial"/>
              </w:rPr>
              <w:t>Corporate Risks</w:t>
            </w:r>
          </w:p>
        </w:tc>
        <w:tc>
          <w:tcPr>
            <w:tcW w:w="6927" w:type="dxa"/>
            <w:gridSpan w:val="2"/>
            <w:shd w:val="clear" w:color="auto" w:fill="auto"/>
          </w:tcPr>
          <w:p w14:paraId="46A040F9" w14:textId="77777777" w:rsidR="00B067AB" w:rsidRPr="00BA4B88" w:rsidRDefault="00B067AB" w:rsidP="005769C6">
            <w:pPr>
              <w:spacing w:before="120" w:after="120"/>
              <w:rPr>
                <w:rFonts w:cs="Arial"/>
                <w:iCs/>
              </w:rPr>
            </w:pPr>
            <w:r w:rsidRPr="00BA4B88">
              <w:rPr>
                <w:rFonts w:cs="Arial"/>
                <w:iCs/>
              </w:rPr>
              <w:t>N/A</w:t>
            </w:r>
          </w:p>
        </w:tc>
      </w:tr>
      <w:tr w:rsidR="00B067AB" w:rsidRPr="00BA04D0" w14:paraId="3A8EE01D" w14:textId="77777777" w:rsidTr="005769C6">
        <w:tc>
          <w:tcPr>
            <w:tcW w:w="2520" w:type="dxa"/>
            <w:shd w:val="clear" w:color="auto" w:fill="auto"/>
          </w:tcPr>
          <w:p w14:paraId="721871D9" w14:textId="77777777" w:rsidR="00B067AB" w:rsidRPr="00BA04D0" w:rsidRDefault="00B067AB" w:rsidP="005769C6">
            <w:pPr>
              <w:spacing w:before="120" w:after="120"/>
              <w:rPr>
                <w:rFonts w:cs="Arial"/>
              </w:rPr>
            </w:pPr>
            <w:r>
              <w:rPr>
                <w:rFonts w:cs="Arial"/>
              </w:rPr>
              <w:t>Report History:</w:t>
            </w:r>
          </w:p>
          <w:p w14:paraId="2ED47DF4" w14:textId="77777777" w:rsidR="00B067AB" w:rsidRPr="00BA04D0" w:rsidRDefault="00B067AB" w:rsidP="005769C6">
            <w:pPr>
              <w:spacing w:before="120" w:after="120"/>
              <w:rPr>
                <w:rFonts w:cs="Arial"/>
              </w:rPr>
            </w:pPr>
          </w:p>
        </w:tc>
        <w:tc>
          <w:tcPr>
            <w:tcW w:w="6927" w:type="dxa"/>
            <w:gridSpan w:val="2"/>
            <w:shd w:val="clear" w:color="auto" w:fill="auto"/>
          </w:tcPr>
          <w:p w14:paraId="28F0D7AD" w14:textId="77B963C0" w:rsidR="00B067AB" w:rsidRPr="004B69AA" w:rsidRDefault="00E942D2" w:rsidP="003558C6">
            <w:pPr>
              <w:spacing w:before="120" w:after="120"/>
              <w:rPr>
                <w:rFonts w:cs="Arial"/>
                <w:iCs/>
              </w:rPr>
            </w:pPr>
            <w:r>
              <w:rPr>
                <w:rFonts w:cs="Arial"/>
                <w:iCs/>
              </w:rPr>
              <w:t xml:space="preserve">Paper </w:t>
            </w:r>
            <w:r w:rsidR="003558C6">
              <w:rPr>
                <w:rFonts w:cs="Arial"/>
                <w:iCs/>
              </w:rPr>
              <w:t>also submitted to</w:t>
            </w:r>
            <w:r>
              <w:rPr>
                <w:rFonts w:cs="Arial"/>
                <w:iCs/>
              </w:rPr>
              <w:t xml:space="preserve"> </w:t>
            </w:r>
            <w:r w:rsidR="00260A40">
              <w:rPr>
                <w:rFonts w:cs="Arial"/>
                <w:iCs/>
              </w:rPr>
              <w:t xml:space="preserve">End of Life Group, </w:t>
            </w:r>
            <w:r>
              <w:rPr>
                <w:rFonts w:cs="Arial"/>
                <w:iCs/>
              </w:rPr>
              <w:t>Patient Safety Forum, Quality Governance Management Group and Quality Committee</w:t>
            </w:r>
          </w:p>
        </w:tc>
      </w:tr>
      <w:tr w:rsidR="00B067AB" w:rsidRPr="00BA04D0" w14:paraId="6E96B4A2" w14:textId="77777777" w:rsidTr="005769C6">
        <w:tc>
          <w:tcPr>
            <w:tcW w:w="2520" w:type="dxa"/>
            <w:shd w:val="clear" w:color="auto" w:fill="auto"/>
          </w:tcPr>
          <w:p w14:paraId="16389154" w14:textId="77777777" w:rsidR="00B067AB" w:rsidRPr="00BA04D0" w:rsidRDefault="00B067AB" w:rsidP="005769C6">
            <w:pPr>
              <w:spacing w:before="120" w:after="120"/>
              <w:rPr>
                <w:rFonts w:cs="Arial"/>
              </w:rPr>
            </w:pPr>
            <w:r w:rsidRPr="00BA04D0">
              <w:rPr>
                <w:rFonts w:cs="Arial"/>
              </w:rPr>
              <w:t>Recommendation:</w:t>
            </w:r>
          </w:p>
          <w:p w14:paraId="132C005C" w14:textId="77777777" w:rsidR="00B067AB" w:rsidRPr="00BA04D0" w:rsidRDefault="00B067AB" w:rsidP="005769C6">
            <w:pPr>
              <w:spacing w:before="120" w:after="120"/>
              <w:rPr>
                <w:rFonts w:cs="Arial"/>
              </w:rPr>
            </w:pPr>
          </w:p>
        </w:tc>
        <w:tc>
          <w:tcPr>
            <w:tcW w:w="6927" w:type="dxa"/>
            <w:gridSpan w:val="2"/>
            <w:shd w:val="clear" w:color="auto" w:fill="auto"/>
          </w:tcPr>
          <w:p w14:paraId="1A168FC8" w14:textId="77777777" w:rsidR="00B067AB" w:rsidRPr="004B69AA" w:rsidRDefault="00B067AB" w:rsidP="005769C6">
            <w:pPr>
              <w:spacing w:before="120" w:after="120"/>
              <w:rPr>
                <w:rFonts w:cs="Arial"/>
                <w:i/>
              </w:rPr>
            </w:pPr>
            <w:r w:rsidRPr="004B69AA">
              <w:rPr>
                <w:rFonts w:cs="Arial"/>
                <w:iCs/>
              </w:rPr>
              <w:t>The board is asked to note the contents of the report, including the metrics and methodology used</w:t>
            </w:r>
            <w:r>
              <w:rPr>
                <w:rFonts w:cs="Arial"/>
                <w:i/>
                <w:color w:val="FF0000"/>
              </w:rPr>
              <w:t>.</w:t>
            </w:r>
          </w:p>
        </w:tc>
      </w:tr>
    </w:tbl>
    <w:p w14:paraId="4320B400" w14:textId="77777777" w:rsidR="009D6945" w:rsidRDefault="009D6945">
      <w:pPr>
        <w:spacing w:before="0" w:line="276" w:lineRule="auto"/>
        <w:jc w:val="left"/>
        <w:rPr>
          <w:b/>
          <w:color w:val="FF0000"/>
          <w:sz w:val="24"/>
          <w:lang w:eastAsia="en-US"/>
        </w:rPr>
      </w:pPr>
      <w:r>
        <w:rPr>
          <w:b/>
          <w:color w:val="FF0000"/>
          <w:sz w:val="24"/>
          <w:lang w:eastAsia="en-US"/>
        </w:rPr>
        <w:br w:type="page"/>
      </w:r>
    </w:p>
    <w:p w14:paraId="32166720" w14:textId="77777777" w:rsidR="003832C0" w:rsidRDefault="003832C0" w:rsidP="009054CB">
      <w:pPr>
        <w:pStyle w:val="ListParagraph"/>
        <w:spacing w:before="0" w:after="0"/>
        <w:jc w:val="center"/>
        <w:rPr>
          <w:b/>
          <w:color w:val="FF0000"/>
          <w:sz w:val="24"/>
          <w:lang w:eastAsia="en-US"/>
        </w:rPr>
      </w:pPr>
    </w:p>
    <w:p w14:paraId="12B8FEFA" w14:textId="4D15E8F0" w:rsidR="00CB7871" w:rsidRPr="004A2EEE" w:rsidRDefault="00B20916" w:rsidP="009054CB">
      <w:pPr>
        <w:pStyle w:val="ListParagraph"/>
        <w:spacing w:before="0" w:after="0"/>
        <w:jc w:val="center"/>
        <w:rPr>
          <w:b/>
          <w:sz w:val="24"/>
          <w:lang w:eastAsia="en-US"/>
        </w:rPr>
      </w:pPr>
      <w:r>
        <w:rPr>
          <w:b/>
          <w:sz w:val="24"/>
          <w:lang w:eastAsia="en-US"/>
        </w:rPr>
        <w:t xml:space="preserve">Board Meeting </w:t>
      </w:r>
      <w:r w:rsidR="00B067AB">
        <w:rPr>
          <w:b/>
          <w:sz w:val="24"/>
          <w:lang w:eastAsia="en-US"/>
        </w:rPr>
        <w:t xml:space="preserve">Held </w:t>
      </w:r>
      <w:r>
        <w:rPr>
          <w:b/>
          <w:sz w:val="24"/>
          <w:lang w:eastAsia="en-US"/>
        </w:rPr>
        <w:t>in Public</w:t>
      </w:r>
    </w:p>
    <w:p w14:paraId="5E1A7191" w14:textId="77777777" w:rsidR="009054CB" w:rsidRPr="004A2EEE" w:rsidRDefault="009054CB" w:rsidP="009054CB">
      <w:pPr>
        <w:pStyle w:val="ListParagraph"/>
        <w:spacing w:before="0" w:after="0"/>
        <w:jc w:val="center"/>
        <w:rPr>
          <w:b/>
          <w:sz w:val="24"/>
          <w:lang w:eastAsia="en-US"/>
        </w:rPr>
      </w:pPr>
    </w:p>
    <w:p w14:paraId="3783C315" w14:textId="7BFD6020" w:rsidR="009054CB" w:rsidRPr="004A2EEE" w:rsidRDefault="00282142" w:rsidP="22E6DB4E">
      <w:pPr>
        <w:pStyle w:val="ListParagraph"/>
        <w:spacing w:before="0" w:after="0"/>
        <w:jc w:val="center"/>
        <w:rPr>
          <w:b/>
          <w:bCs/>
          <w:sz w:val="24"/>
          <w:lang w:eastAsia="en-US"/>
        </w:rPr>
      </w:pPr>
      <w:r w:rsidRPr="22E6DB4E">
        <w:rPr>
          <w:b/>
          <w:bCs/>
          <w:sz w:val="24"/>
          <w:lang w:eastAsia="en-US"/>
        </w:rPr>
        <w:t>Wednesday 2</w:t>
      </w:r>
      <w:r w:rsidR="0EDD3A5B" w:rsidRPr="22E6DB4E">
        <w:rPr>
          <w:b/>
          <w:bCs/>
          <w:sz w:val="24"/>
          <w:lang w:eastAsia="en-US"/>
        </w:rPr>
        <w:t>6</w:t>
      </w:r>
      <w:r w:rsidRPr="22E6DB4E">
        <w:rPr>
          <w:b/>
          <w:bCs/>
          <w:sz w:val="24"/>
          <w:vertAlign w:val="superscript"/>
          <w:lang w:eastAsia="en-US"/>
        </w:rPr>
        <w:t>h</w:t>
      </w:r>
      <w:r w:rsidRPr="22E6DB4E">
        <w:rPr>
          <w:b/>
          <w:bCs/>
          <w:sz w:val="24"/>
          <w:lang w:eastAsia="en-US"/>
        </w:rPr>
        <w:t xml:space="preserve"> </w:t>
      </w:r>
      <w:r w:rsidR="6782A20A" w:rsidRPr="22E6DB4E">
        <w:rPr>
          <w:b/>
          <w:bCs/>
          <w:sz w:val="24"/>
          <w:lang w:eastAsia="en-US"/>
        </w:rPr>
        <w:t>March 202</w:t>
      </w:r>
      <w:r w:rsidR="003E79FA">
        <w:rPr>
          <w:b/>
          <w:bCs/>
          <w:sz w:val="24"/>
          <w:lang w:eastAsia="en-US"/>
        </w:rPr>
        <w:t>5</w:t>
      </w:r>
    </w:p>
    <w:p w14:paraId="54DFDCB0" w14:textId="77777777" w:rsidR="009054CB" w:rsidRPr="004A2EEE" w:rsidRDefault="009054CB" w:rsidP="009054CB">
      <w:pPr>
        <w:pStyle w:val="ListParagraph"/>
        <w:spacing w:before="0" w:after="0"/>
        <w:jc w:val="center"/>
        <w:rPr>
          <w:b/>
          <w:sz w:val="24"/>
          <w:lang w:eastAsia="en-US"/>
        </w:rPr>
      </w:pPr>
    </w:p>
    <w:p w14:paraId="2B222088" w14:textId="701264B3" w:rsidR="009054CB" w:rsidRPr="004A2EEE" w:rsidRDefault="00AC51E7" w:rsidP="22E6DB4E">
      <w:pPr>
        <w:pStyle w:val="ListParagraph"/>
        <w:spacing w:before="0" w:after="0"/>
        <w:jc w:val="center"/>
        <w:rPr>
          <w:b/>
          <w:bCs/>
          <w:sz w:val="24"/>
          <w:lang w:eastAsia="en-US"/>
        </w:rPr>
      </w:pPr>
      <w:r w:rsidRPr="22E6DB4E">
        <w:rPr>
          <w:b/>
          <w:bCs/>
          <w:sz w:val="24"/>
          <w:lang w:eastAsia="en-US"/>
        </w:rPr>
        <w:t>Learning from Deaths</w:t>
      </w:r>
      <w:r w:rsidR="00B20916" w:rsidRPr="22E6DB4E">
        <w:rPr>
          <w:b/>
          <w:bCs/>
          <w:sz w:val="24"/>
          <w:lang w:eastAsia="en-US"/>
        </w:rPr>
        <w:t xml:space="preserve"> Q</w:t>
      </w:r>
      <w:r w:rsidR="00285D38" w:rsidRPr="22E6DB4E">
        <w:rPr>
          <w:b/>
          <w:bCs/>
          <w:sz w:val="24"/>
          <w:lang w:eastAsia="en-US"/>
        </w:rPr>
        <w:t>uar</w:t>
      </w:r>
      <w:r w:rsidR="00630F8C" w:rsidRPr="22E6DB4E">
        <w:rPr>
          <w:b/>
          <w:bCs/>
          <w:sz w:val="24"/>
          <w:lang w:eastAsia="en-US"/>
        </w:rPr>
        <w:t xml:space="preserve">ter </w:t>
      </w:r>
      <w:r w:rsidR="761031FA" w:rsidRPr="22E6DB4E">
        <w:rPr>
          <w:b/>
          <w:bCs/>
          <w:sz w:val="24"/>
          <w:lang w:eastAsia="en-US"/>
        </w:rPr>
        <w:t>3</w:t>
      </w:r>
      <w:r w:rsidR="00B20916" w:rsidRPr="22E6DB4E">
        <w:rPr>
          <w:b/>
          <w:bCs/>
          <w:sz w:val="24"/>
          <w:lang w:eastAsia="en-US"/>
        </w:rPr>
        <w:t xml:space="preserve"> Report</w:t>
      </w:r>
    </w:p>
    <w:p w14:paraId="5746DE04" w14:textId="77777777" w:rsidR="009054CB" w:rsidRPr="004A2EEE" w:rsidRDefault="009054CB" w:rsidP="009054CB">
      <w:pPr>
        <w:pStyle w:val="ListParagraph"/>
        <w:spacing w:before="0" w:after="0"/>
        <w:jc w:val="center"/>
        <w:rPr>
          <w:b/>
          <w:sz w:val="24"/>
          <w:lang w:eastAsia="en-US"/>
        </w:rPr>
      </w:pPr>
    </w:p>
    <w:p w14:paraId="54C02CC6" w14:textId="03FB59FE" w:rsidR="009054CB" w:rsidRPr="004A2EEE" w:rsidRDefault="00AC51E7" w:rsidP="009054CB">
      <w:pPr>
        <w:pStyle w:val="ListParagraph"/>
        <w:spacing w:before="0" w:after="0"/>
        <w:jc w:val="center"/>
        <w:rPr>
          <w:b/>
          <w:sz w:val="24"/>
          <w:lang w:eastAsia="en-US"/>
        </w:rPr>
      </w:pPr>
      <w:r w:rsidRPr="004A2EEE">
        <w:rPr>
          <w:b/>
          <w:sz w:val="24"/>
          <w:lang w:eastAsia="en-US"/>
        </w:rPr>
        <w:t>Executive Medical Director</w:t>
      </w:r>
    </w:p>
    <w:p w14:paraId="6B82824A" w14:textId="77777777" w:rsidR="009054CB" w:rsidRPr="00E00ADC" w:rsidRDefault="009054CB" w:rsidP="00E00ADC">
      <w:pPr>
        <w:spacing w:before="0" w:after="0"/>
        <w:jc w:val="left"/>
        <w:rPr>
          <w:b/>
          <w:sz w:val="24"/>
          <w:lang w:eastAsia="en-US"/>
        </w:rPr>
      </w:pPr>
    </w:p>
    <w:p w14:paraId="08CD5356" w14:textId="77777777" w:rsidR="00CB7871" w:rsidRPr="00E00ADC" w:rsidRDefault="008403F7" w:rsidP="00A41A79">
      <w:pPr>
        <w:pStyle w:val="ListParagraph"/>
        <w:numPr>
          <w:ilvl w:val="0"/>
          <w:numId w:val="6"/>
        </w:numPr>
        <w:spacing w:before="0" w:after="0"/>
        <w:rPr>
          <w:rFonts w:cs="Arial"/>
          <w:b/>
          <w:szCs w:val="22"/>
          <w:lang w:eastAsia="en-US"/>
        </w:rPr>
      </w:pPr>
      <w:r w:rsidRPr="00E00ADC">
        <w:rPr>
          <w:rFonts w:cs="Arial"/>
          <w:b/>
          <w:szCs w:val="22"/>
          <w:lang w:eastAsia="en-US"/>
        </w:rPr>
        <w:tab/>
      </w:r>
      <w:r w:rsidR="00C817E7" w:rsidRPr="00E00ADC">
        <w:rPr>
          <w:rFonts w:cs="Arial"/>
          <w:b/>
          <w:szCs w:val="22"/>
          <w:lang w:eastAsia="en-US"/>
        </w:rPr>
        <w:t xml:space="preserve">Executive </w:t>
      </w:r>
      <w:r w:rsidR="00CB7871" w:rsidRPr="00E00ADC">
        <w:rPr>
          <w:rFonts w:cs="Arial"/>
          <w:b/>
          <w:szCs w:val="22"/>
          <w:lang w:eastAsia="en-US"/>
        </w:rPr>
        <w:t>Summary</w:t>
      </w:r>
    </w:p>
    <w:p w14:paraId="4802C6DC" w14:textId="77777777" w:rsidR="008403F7" w:rsidRPr="00E00ADC" w:rsidRDefault="008403F7" w:rsidP="00A41A79">
      <w:pPr>
        <w:spacing w:before="0" w:after="0"/>
        <w:rPr>
          <w:rFonts w:cs="Arial"/>
          <w:color w:val="FF0000"/>
          <w:szCs w:val="22"/>
          <w:lang w:eastAsia="en-US"/>
        </w:rPr>
      </w:pPr>
    </w:p>
    <w:p w14:paraId="2D93BDBD" w14:textId="10CC8C33" w:rsidR="00CB7871" w:rsidRPr="00325694" w:rsidRDefault="00B50236" w:rsidP="00B50236">
      <w:pPr>
        <w:spacing w:before="0" w:after="0"/>
        <w:ind w:left="709" w:hanging="709"/>
        <w:rPr>
          <w:rFonts w:cs="Arial"/>
          <w:color w:val="000000" w:themeColor="text1"/>
          <w:szCs w:val="22"/>
          <w:lang w:eastAsia="en-US"/>
        </w:rPr>
      </w:pPr>
      <w:r w:rsidRPr="00325694">
        <w:rPr>
          <w:rFonts w:cs="Arial"/>
          <w:color w:val="000000" w:themeColor="text1"/>
          <w:szCs w:val="22"/>
          <w:lang w:eastAsia="en-US"/>
        </w:rPr>
        <w:tab/>
      </w:r>
      <w:r w:rsidR="002976A3" w:rsidRPr="00325694">
        <w:rPr>
          <w:rFonts w:cs="Arial"/>
          <w:color w:val="000000" w:themeColor="text1"/>
          <w:szCs w:val="22"/>
          <w:lang w:eastAsia="en-US"/>
        </w:rPr>
        <w:t xml:space="preserve">Crude mortality rates for the trust </w:t>
      </w:r>
      <w:r w:rsidR="00C069D2" w:rsidRPr="00325694">
        <w:rPr>
          <w:rFonts w:cs="Arial"/>
          <w:color w:val="000000" w:themeColor="text1"/>
          <w:szCs w:val="22"/>
          <w:lang w:eastAsia="en-US"/>
        </w:rPr>
        <w:t xml:space="preserve">continue to </w:t>
      </w:r>
      <w:r w:rsidR="003B1AD3">
        <w:rPr>
          <w:rFonts w:cs="Arial"/>
          <w:color w:val="000000" w:themeColor="text1"/>
          <w:szCs w:val="22"/>
          <w:lang w:eastAsia="en-US"/>
        </w:rPr>
        <w:t>oscillate around</w:t>
      </w:r>
      <w:r w:rsidR="00F036DC" w:rsidRPr="00325694">
        <w:rPr>
          <w:rFonts w:cs="Arial"/>
          <w:color w:val="000000" w:themeColor="text1"/>
          <w:szCs w:val="22"/>
          <w:lang w:eastAsia="en-US"/>
        </w:rPr>
        <w:t xml:space="preserve"> national </w:t>
      </w:r>
      <w:r w:rsidR="00A260E6">
        <w:rPr>
          <w:rFonts w:cs="Arial"/>
          <w:color w:val="000000" w:themeColor="text1"/>
          <w:szCs w:val="22"/>
          <w:lang w:eastAsia="en-US"/>
        </w:rPr>
        <w:t>level</w:t>
      </w:r>
      <w:r w:rsidR="001F502A">
        <w:rPr>
          <w:rFonts w:cs="Arial"/>
          <w:color w:val="000000" w:themeColor="text1"/>
          <w:szCs w:val="22"/>
          <w:lang w:eastAsia="en-US"/>
        </w:rPr>
        <w:t>.</w:t>
      </w:r>
    </w:p>
    <w:p w14:paraId="17E2D102" w14:textId="77777777" w:rsidR="00CB7871" w:rsidRPr="00325694" w:rsidRDefault="00CB7871" w:rsidP="00B50236">
      <w:pPr>
        <w:spacing w:before="0" w:after="0"/>
        <w:ind w:left="709" w:hanging="709"/>
        <w:rPr>
          <w:rFonts w:cs="Arial"/>
          <w:color w:val="000000" w:themeColor="text1"/>
          <w:szCs w:val="22"/>
          <w:lang w:eastAsia="en-US"/>
        </w:rPr>
      </w:pPr>
    </w:p>
    <w:p w14:paraId="48DC682C" w14:textId="4728CD41" w:rsidR="004231A7" w:rsidRDefault="00B50236" w:rsidP="00B50236">
      <w:pPr>
        <w:spacing w:before="0" w:after="0"/>
        <w:ind w:left="709" w:hanging="709"/>
        <w:rPr>
          <w:rFonts w:cs="Arial"/>
          <w:color w:val="000000" w:themeColor="text1"/>
          <w:szCs w:val="22"/>
          <w:lang w:eastAsia="en-US"/>
        </w:rPr>
      </w:pPr>
      <w:r w:rsidRPr="00325694">
        <w:rPr>
          <w:rFonts w:cs="Arial"/>
          <w:color w:val="000000" w:themeColor="text1"/>
          <w:szCs w:val="22"/>
          <w:lang w:eastAsia="en-US"/>
        </w:rPr>
        <w:tab/>
      </w:r>
      <w:r w:rsidR="009878AE">
        <w:rPr>
          <w:rFonts w:cs="Arial"/>
          <w:color w:val="000000" w:themeColor="text1"/>
          <w:szCs w:val="22"/>
          <w:lang w:eastAsia="en-US"/>
        </w:rPr>
        <w:t xml:space="preserve">SHMI </w:t>
      </w:r>
      <w:r w:rsidR="00260A40">
        <w:rPr>
          <w:rFonts w:cs="Arial"/>
          <w:color w:val="000000" w:themeColor="text1"/>
          <w:szCs w:val="22"/>
          <w:lang w:eastAsia="en-US"/>
        </w:rPr>
        <w:t xml:space="preserve">has risen which </w:t>
      </w:r>
      <w:r w:rsidR="00417EFE">
        <w:rPr>
          <w:rFonts w:cs="Arial"/>
          <w:color w:val="000000" w:themeColor="text1"/>
          <w:szCs w:val="22"/>
          <w:lang w:eastAsia="en-US"/>
        </w:rPr>
        <w:t xml:space="preserve">is most likely a data accuracy issue </w:t>
      </w:r>
      <w:r w:rsidR="00260A40">
        <w:rPr>
          <w:rFonts w:cs="Arial"/>
          <w:color w:val="000000" w:themeColor="text1"/>
          <w:szCs w:val="22"/>
          <w:lang w:eastAsia="en-US"/>
        </w:rPr>
        <w:t xml:space="preserve">due to </w:t>
      </w:r>
      <w:r w:rsidR="00417EFE">
        <w:rPr>
          <w:rFonts w:cs="Arial"/>
          <w:color w:val="000000" w:themeColor="text1"/>
          <w:szCs w:val="22"/>
          <w:lang w:eastAsia="en-US"/>
        </w:rPr>
        <w:t>delays in</w:t>
      </w:r>
      <w:r w:rsidR="005327CC">
        <w:rPr>
          <w:rFonts w:cs="Arial"/>
          <w:color w:val="000000" w:themeColor="text1"/>
          <w:szCs w:val="22"/>
          <w:lang w:eastAsia="en-US"/>
        </w:rPr>
        <w:t xml:space="preserve"> clinical coding. Observed number of death remains at a stable level.</w:t>
      </w:r>
    </w:p>
    <w:p w14:paraId="7254ED9A" w14:textId="2EE1B9A3" w:rsidR="003B1AD3" w:rsidRPr="00325694" w:rsidRDefault="00CC6402" w:rsidP="00B50236">
      <w:pPr>
        <w:spacing w:before="0" w:after="0"/>
        <w:ind w:left="709" w:hanging="709"/>
        <w:rPr>
          <w:rFonts w:cs="Arial"/>
          <w:color w:val="000000" w:themeColor="text1"/>
          <w:szCs w:val="22"/>
          <w:lang w:eastAsia="en-US"/>
        </w:rPr>
      </w:pPr>
      <w:r>
        <w:rPr>
          <w:rFonts w:cs="Arial"/>
          <w:color w:val="000000" w:themeColor="text1"/>
          <w:szCs w:val="22"/>
          <w:lang w:eastAsia="en-US"/>
        </w:rPr>
        <w:tab/>
      </w:r>
    </w:p>
    <w:p w14:paraId="43049A58" w14:textId="32DDCC8E" w:rsidR="007322D8" w:rsidRPr="00325694" w:rsidRDefault="005327CC" w:rsidP="004E67E2">
      <w:pPr>
        <w:pStyle w:val="ListParagraph"/>
        <w:spacing w:before="0" w:after="0"/>
        <w:rPr>
          <w:rFonts w:cs="Arial"/>
          <w:color w:val="000000" w:themeColor="text1"/>
          <w:szCs w:val="22"/>
          <w:lang w:eastAsia="en-US"/>
        </w:rPr>
      </w:pPr>
      <w:r>
        <w:rPr>
          <w:rFonts w:cs="Arial"/>
          <w:color w:val="000000" w:themeColor="text1"/>
          <w:szCs w:val="22"/>
          <w:lang w:eastAsia="en-US"/>
        </w:rPr>
        <w:t>21</w:t>
      </w:r>
      <w:r w:rsidR="00A70373">
        <w:rPr>
          <w:rFonts w:cs="Arial"/>
          <w:color w:val="000000" w:themeColor="text1"/>
          <w:szCs w:val="22"/>
          <w:lang w:eastAsia="en-US"/>
        </w:rPr>
        <w:t xml:space="preserve"> </w:t>
      </w:r>
      <w:r w:rsidR="00883386">
        <w:rPr>
          <w:rFonts w:cs="Arial"/>
          <w:color w:val="000000" w:themeColor="text1"/>
          <w:szCs w:val="22"/>
          <w:lang w:eastAsia="en-US"/>
        </w:rPr>
        <w:t>cases have undergone a</w:t>
      </w:r>
      <w:r w:rsidR="005A7699">
        <w:rPr>
          <w:rFonts w:cs="Arial"/>
          <w:color w:val="000000" w:themeColor="text1"/>
          <w:szCs w:val="22"/>
          <w:lang w:eastAsia="en-US"/>
        </w:rPr>
        <w:t xml:space="preserve"> </w:t>
      </w:r>
      <w:r w:rsidR="00D12DEF">
        <w:rPr>
          <w:rFonts w:cs="Arial"/>
          <w:color w:val="000000" w:themeColor="text1"/>
          <w:szCs w:val="22"/>
          <w:lang w:eastAsia="en-US"/>
        </w:rPr>
        <w:t>s</w:t>
      </w:r>
      <w:r w:rsidR="004E67E2" w:rsidRPr="00325694">
        <w:rPr>
          <w:rFonts w:cs="Arial"/>
          <w:color w:val="000000" w:themeColor="text1"/>
          <w:szCs w:val="22"/>
          <w:lang w:eastAsia="en-US"/>
        </w:rPr>
        <w:t>truct</w:t>
      </w:r>
      <w:r w:rsidR="00306F92" w:rsidRPr="00325694">
        <w:rPr>
          <w:rFonts w:cs="Arial"/>
          <w:color w:val="000000" w:themeColor="text1"/>
          <w:szCs w:val="22"/>
          <w:lang w:eastAsia="en-US"/>
        </w:rPr>
        <w:t>ured</w:t>
      </w:r>
      <w:r w:rsidR="00883386">
        <w:rPr>
          <w:rFonts w:cs="Arial"/>
          <w:color w:val="000000" w:themeColor="text1"/>
          <w:szCs w:val="22"/>
          <w:lang w:eastAsia="en-US"/>
        </w:rPr>
        <w:t xml:space="preserve"> judgement review</w:t>
      </w:r>
      <w:r w:rsidR="00A2165C" w:rsidRPr="00325694">
        <w:rPr>
          <w:rFonts w:cs="Arial"/>
          <w:color w:val="000000" w:themeColor="text1"/>
          <w:szCs w:val="22"/>
          <w:lang w:eastAsia="en-US"/>
        </w:rPr>
        <w:t xml:space="preserve"> since the last report</w:t>
      </w:r>
      <w:r>
        <w:rPr>
          <w:rFonts w:cs="Arial"/>
          <w:color w:val="000000" w:themeColor="text1"/>
          <w:szCs w:val="22"/>
          <w:lang w:eastAsia="en-US"/>
        </w:rPr>
        <w:t xml:space="preserve">. </w:t>
      </w:r>
      <w:r w:rsidR="003E79FA">
        <w:rPr>
          <w:rFonts w:cs="Arial"/>
          <w:color w:val="000000" w:themeColor="text1"/>
          <w:szCs w:val="22"/>
          <w:lang w:eastAsia="en-US"/>
        </w:rPr>
        <w:t>Learning from these reports is shared within and across</w:t>
      </w:r>
      <w:r w:rsidR="00953744">
        <w:rPr>
          <w:rFonts w:cs="Arial"/>
          <w:color w:val="000000" w:themeColor="text1"/>
          <w:szCs w:val="22"/>
          <w:lang w:eastAsia="en-US"/>
        </w:rPr>
        <w:t xml:space="preserve"> the organisation</w:t>
      </w:r>
      <w:r w:rsidR="003E79FA">
        <w:rPr>
          <w:rFonts w:cs="Arial"/>
          <w:color w:val="000000" w:themeColor="text1"/>
          <w:szCs w:val="22"/>
          <w:lang w:eastAsia="en-US"/>
        </w:rPr>
        <w:t>.</w:t>
      </w:r>
    </w:p>
    <w:p w14:paraId="3B06C8B8" w14:textId="0E4EFBCF" w:rsidR="007322D8" w:rsidRDefault="007322D8" w:rsidP="004E67E2">
      <w:pPr>
        <w:pStyle w:val="ListParagraph"/>
        <w:spacing w:before="0" w:after="0"/>
        <w:rPr>
          <w:rFonts w:cs="Arial"/>
          <w:color w:val="000000" w:themeColor="text1"/>
          <w:szCs w:val="22"/>
          <w:lang w:eastAsia="en-US"/>
        </w:rPr>
      </w:pPr>
    </w:p>
    <w:p w14:paraId="5C045671" w14:textId="77777777" w:rsidR="00325694" w:rsidRPr="00D92FB6" w:rsidRDefault="00325694" w:rsidP="004E67E2">
      <w:pPr>
        <w:pStyle w:val="ListParagraph"/>
        <w:spacing w:before="0" w:after="0"/>
        <w:rPr>
          <w:rFonts w:cs="Arial"/>
          <w:color w:val="FF0000"/>
          <w:szCs w:val="22"/>
          <w:lang w:eastAsia="en-US"/>
        </w:rPr>
      </w:pPr>
    </w:p>
    <w:p w14:paraId="6587C79D" w14:textId="2501C44E" w:rsidR="006A5B1B" w:rsidRPr="00D92FB6" w:rsidRDefault="006A5B1B" w:rsidP="004E67E2">
      <w:pPr>
        <w:pStyle w:val="ListParagraph"/>
        <w:spacing w:before="0" w:after="0"/>
        <w:rPr>
          <w:rFonts w:cs="Arial"/>
          <w:color w:val="FF0000"/>
          <w:szCs w:val="22"/>
          <w:lang w:eastAsia="en-US"/>
        </w:rPr>
      </w:pPr>
    </w:p>
    <w:p w14:paraId="4FD497E3" w14:textId="77777777" w:rsidR="006A5B1B" w:rsidRPr="00D92FB6" w:rsidRDefault="006A5B1B" w:rsidP="004E67E2">
      <w:pPr>
        <w:pStyle w:val="ListParagraph"/>
        <w:spacing w:before="0" w:after="0"/>
        <w:rPr>
          <w:rFonts w:cs="Arial"/>
          <w:color w:val="FF0000"/>
          <w:szCs w:val="22"/>
          <w:lang w:eastAsia="en-US"/>
        </w:rPr>
      </w:pPr>
    </w:p>
    <w:p w14:paraId="5CD61F43" w14:textId="77777777" w:rsidR="00A307F3" w:rsidRPr="00E00ADC" w:rsidRDefault="00A307F3" w:rsidP="00B50236">
      <w:pPr>
        <w:spacing w:before="0" w:after="0"/>
        <w:ind w:left="709" w:hanging="709"/>
        <w:rPr>
          <w:rFonts w:cs="Arial"/>
          <w:color w:val="FF0000"/>
          <w:szCs w:val="22"/>
          <w:lang w:eastAsia="en-US"/>
        </w:rPr>
      </w:pPr>
    </w:p>
    <w:p w14:paraId="7299DD3E" w14:textId="77777777" w:rsidR="00CB7871" w:rsidRPr="00E00ADC" w:rsidRDefault="00CB7871" w:rsidP="00A41A79">
      <w:pPr>
        <w:spacing w:before="0" w:after="0"/>
        <w:rPr>
          <w:rFonts w:cs="Arial"/>
          <w:szCs w:val="22"/>
          <w:lang w:eastAsia="en-US"/>
        </w:rPr>
      </w:pPr>
    </w:p>
    <w:p w14:paraId="268AC97D" w14:textId="77777777" w:rsidR="00A70C6F" w:rsidRPr="00E00ADC" w:rsidRDefault="00A70C6F" w:rsidP="008A36C4">
      <w:pPr>
        <w:spacing w:before="0" w:after="0"/>
        <w:ind w:left="709" w:hanging="709"/>
        <w:rPr>
          <w:rFonts w:cs="Arial"/>
          <w:color w:val="FF0000"/>
          <w:szCs w:val="22"/>
          <w:lang w:eastAsia="en-US"/>
        </w:rPr>
      </w:pPr>
    </w:p>
    <w:p w14:paraId="635B65B5" w14:textId="4B226DA1" w:rsidR="00C41867" w:rsidRDefault="00C41867">
      <w:pPr>
        <w:spacing w:before="0" w:line="276" w:lineRule="auto"/>
        <w:jc w:val="left"/>
        <w:rPr>
          <w:rFonts w:cs="Arial"/>
          <w:szCs w:val="22"/>
          <w:lang w:eastAsia="en-US"/>
        </w:rPr>
      </w:pPr>
      <w:r>
        <w:rPr>
          <w:rFonts w:cs="Arial"/>
          <w:szCs w:val="22"/>
          <w:lang w:eastAsia="en-US"/>
        </w:rPr>
        <w:br w:type="page"/>
      </w:r>
    </w:p>
    <w:p w14:paraId="02D49DBF" w14:textId="77777777" w:rsidR="00E00ADC" w:rsidRPr="004D43B6" w:rsidRDefault="00E00ADC" w:rsidP="008A36C4">
      <w:pPr>
        <w:spacing w:before="0" w:after="0"/>
        <w:rPr>
          <w:rFonts w:cs="Arial"/>
          <w:szCs w:val="22"/>
          <w:lang w:eastAsia="en-US"/>
        </w:rPr>
      </w:pPr>
    </w:p>
    <w:p w14:paraId="4459AB31" w14:textId="77777777" w:rsidR="004D43B6" w:rsidRPr="004D43B6" w:rsidRDefault="004D43B6" w:rsidP="004D43B6">
      <w:pPr>
        <w:pStyle w:val="ListParagraph"/>
        <w:numPr>
          <w:ilvl w:val="0"/>
          <w:numId w:val="6"/>
        </w:numPr>
        <w:spacing w:before="0" w:after="0"/>
        <w:jc w:val="left"/>
        <w:rPr>
          <w:rFonts w:cs="Arial"/>
          <w:b/>
        </w:rPr>
      </w:pPr>
      <w:r w:rsidRPr="004D43B6">
        <w:rPr>
          <w:rFonts w:cs="Arial"/>
          <w:b/>
          <w:szCs w:val="22"/>
        </w:rPr>
        <w:tab/>
        <w:t xml:space="preserve">Introduction </w:t>
      </w:r>
    </w:p>
    <w:p w14:paraId="3F0959DB" w14:textId="77777777" w:rsidR="004D43B6" w:rsidRPr="006F524C" w:rsidRDefault="004D43B6" w:rsidP="004D43B6">
      <w:pPr>
        <w:pStyle w:val="ListParagraph"/>
        <w:spacing w:before="0" w:after="0"/>
        <w:ind w:left="360"/>
        <w:jc w:val="left"/>
        <w:rPr>
          <w:rFonts w:cs="Arial"/>
          <w:b/>
          <w:color w:val="000000" w:themeColor="text1"/>
        </w:rPr>
      </w:pPr>
    </w:p>
    <w:p w14:paraId="4C289AF9" w14:textId="7021CB03" w:rsidR="004D43B6" w:rsidRPr="00C4414B" w:rsidRDefault="00C4414B" w:rsidP="00D6128E">
      <w:pPr>
        <w:pStyle w:val="ListParagraph"/>
        <w:ind w:left="0" w:right="318"/>
        <w:rPr>
          <w:rFonts w:cs="Arial"/>
          <w:color w:val="000000" w:themeColor="text1"/>
          <w:szCs w:val="22"/>
          <w:lang w:eastAsia="en-US"/>
        </w:rPr>
      </w:pPr>
      <w:r w:rsidRPr="00C4414B">
        <w:rPr>
          <w:rFonts w:cs="Arial"/>
          <w:color w:val="000000" w:themeColor="text1"/>
          <w:szCs w:val="22"/>
          <w:lang w:eastAsia="en-US"/>
        </w:rPr>
        <w:t xml:space="preserve">Although mortality represents a very small percentage of all trust activity, it is important that it is monitored and examined appropriately. This report aims to triangulate mortality indices with other markers of quality of care, in particular that provided by structured judgemental reviews (SJRs) of medical </w:t>
      </w:r>
      <w:r w:rsidR="008908AC">
        <w:rPr>
          <w:rFonts w:cs="Arial"/>
          <w:color w:val="000000" w:themeColor="text1"/>
          <w:szCs w:val="22"/>
          <w:lang w:eastAsia="en-US"/>
        </w:rPr>
        <w:t>records</w:t>
      </w:r>
      <w:r w:rsidRPr="00C4414B">
        <w:rPr>
          <w:rFonts w:cs="Arial"/>
          <w:color w:val="000000" w:themeColor="text1"/>
          <w:szCs w:val="22"/>
          <w:lang w:eastAsia="en-US"/>
        </w:rPr>
        <w:t>.</w:t>
      </w:r>
    </w:p>
    <w:p w14:paraId="26E982B7" w14:textId="67485C34" w:rsidR="001A1736" w:rsidRPr="00D92FB6" w:rsidRDefault="001A1736" w:rsidP="004D43B6">
      <w:pPr>
        <w:pStyle w:val="ListParagraph"/>
        <w:spacing w:before="0" w:after="0"/>
        <w:ind w:left="360"/>
        <w:rPr>
          <w:rFonts w:cs="Arial"/>
          <w:b/>
          <w:color w:val="FF0000"/>
          <w:szCs w:val="22"/>
          <w:lang w:eastAsia="en-US"/>
        </w:rPr>
      </w:pPr>
    </w:p>
    <w:p w14:paraId="5E0619CB" w14:textId="77777777" w:rsidR="001A1736" w:rsidRDefault="001A1736" w:rsidP="004D43B6">
      <w:pPr>
        <w:pStyle w:val="ListParagraph"/>
        <w:spacing w:before="0" w:after="0"/>
        <w:ind w:left="360"/>
        <w:rPr>
          <w:rFonts w:cs="Arial"/>
          <w:b/>
          <w:szCs w:val="22"/>
          <w:lang w:eastAsia="en-US"/>
        </w:rPr>
      </w:pPr>
    </w:p>
    <w:p w14:paraId="4CCE3253" w14:textId="4B2980E3" w:rsidR="00CB7871" w:rsidRPr="00E00ADC" w:rsidRDefault="004D43B6" w:rsidP="00A41A79">
      <w:pPr>
        <w:pStyle w:val="ListParagraph"/>
        <w:numPr>
          <w:ilvl w:val="0"/>
          <w:numId w:val="6"/>
        </w:numPr>
        <w:spacing w:before="0" w:after="0"/>
        <w:rPr>
          <w:rFonts w:cs="Arial"/>
          <w:b/>
          <w:szCs w:val="22"/>
          <w:lang w:eastAsia="en-US"/>
        </w:rPr>
      </w:pPr>
      <w:r>
        <w:rPr>
          <w:rFonts w:cs="Arial"/>
          <w:b/>
          <w:szCs w:val="22"/>
          <w:lang w:eastAsia="en-US"/>
        </w:rPr>
        <w:tab/>
      </w:r>
      <w:r w:rsidR="002F2F9C">
        <w:rPr>
          <w:rFonts w:cs="Arial"/>
          <w:b/>
          <w:szCs w:val="22"/>
          <w:lang w:eastAsia="en-US"/>
        </w:rPr>
        <w:t>Findings</w:t>
      </w:r>
    </w:p>
    <w:p w14:paraId="1D6D7B43" w14:textId="77777777" w:rsidR="003832C0" w:rsidRPr="00E00ADC" w:rsidRDefault="003832C0" w:rsidP="00A41A79">
      <w:pPr>
        <w:pStyle w:val="ListParagraph"/>
        <w:spacing w:before="0" w:after="0"/>
        <w:ind w:left="360"/>
        <w:rPr>
          <w:rFonts w:cs="Arial"/>
          <w:b/>
          <w:szCs w:val="22"/>
          <w:lang w:eastAsia="en-US"/>
        </w:rPr>
      </w:pPr>
    </w:p>
    <w:p w14:paraId="5272485F" w14:textId="77777777" w:rsidR="001C3114" w:rsidRPr="001C3114" w:rsidRDefault="00FD7D1E" w:rsidP="00D6128E">
      <w:pPr>
        <w:pStyle w:val="ListParagraph"/>
        <w:numPr>
          <w:ilvl w:val="1"/>
          <w:numId w:val="6"/>
        </w:numPr>
        <w:spacing w:before="0"/>
        <w:ind w:left="360" w:right="318"/>
        <w:rPr>
          <w:rFonts w:cs="Arial"/>
          <w:szCs w:val="22"/>
        </w:rPr>
      </w:pPr>
      <w:r w:rsidRPr="001C3114">
        <w:rPr>
          <w:rFonts w:cs="Arial"/>
          <w:b/>
          <w:bCs/>
          <w:szCs w:val="22"/>
        </w:rPr>
        <w:t>Crude Mortality Data</w:t>
      </w:r>
      <w:r w:rsidRPr="001C3114">
        <w:rPr>
          <w:rFonts w:cs="Arial"/>
          <w:szCs w:val="22"/>
        </w:rPr>
        <w:t xml:space="preserve"> </w:t>
      </w:r>
    </w:p>
    <w:p w14:paraId="7873A913" w14:textId="797ADFE8" w:rsidR="001C3114" w:rsidRDefault="00FD7D1E" w:rsidP="00D6128E">
      <w:pPr>
        <w:spacing w:before="0"/>
        <w:ind w:right="318"/>
        <w:rPr>
          <w:rFonts w:cs="Arial"/>
          <w:color w:val="000000" w:themeColor="text1"/>
          <w:szCs w:val="22"/>
        </w:rPr>
      </w:pPr>
      <w:r w:rsidRPr="008A566D">
        <w:rPr>
          <w:rFonts w:cs="Arial"/>
          <w:color w:val="000000" w:themeColor="text1"/>
          <w:szCs w:val="22"/>
        </w:rPr>
        <w:t>The crude mortality ra</w:t>
      </w:r>
      <w:r w:rsidR="008A566D">
        <w:rPr>
          <w:rFonts w:cs="Arial"/>
          <w:color w:val="000000" w:themeColor="text1"/>
          <w:szCs w:val="22"/>
        </w:rPr>
        <w:t>te for admissions gives a long</w:t>
      </w:r>
      <w:r w:rsidRPr="008A566D">
        <w:rPr>
          <w:rFonts w:cs="Arial"/>
          <w:color w:val="000000" w:themeColor="text1"/>
          <w:szCs w:val="22"/>
        </w:rPr>
        <w:t>-term view of trust mortality.</w:t>
      </w:r>
      <w:r w:rsidR="00E519F8">
        <w:rPr>
          <w:rFonts w:cs="Arial"/>
          <w:color w:val="000000" w:themeColor="text1"/>
          <w:szCs w:val="22"/>
        </w:rPr>
        <w:t xml:space="preserve"> In total, </w:t>
      </w:r>
      <w:r w:rsidR="000D0075">
        <w:rPr>
          <w:rFonts w:cs="Arial"/>
          <w:color w:val="000000" w:themeColor="text1"/>
          <w:szCs w:val="22"/>
        </w:rPr>
        <w:t>1</w:t>
      </w:r>
      <w:r w:rsidR="00AA3784">
        <w:rPr>
          <w:rFonts w:cs="Arial"/>
          <w:color w:val="000000" w:themeColor="text1"/>
          <w:szCs w:val="22"/>
        </w:rPr>
        <w:t>99</w:t>
      </w:r>
      <w:r w:rsidR="0090736B" w:rsidRPr="008A566D">
        <w:rPr>
          <w:rFonts w:cs="Arial"/>
          <w:color w:val="000000" w:themeColor="text1"/>
          <w:szCs w:val="22"/>
        </w:rPr>
        <w:t xml:space="preserve"> deaths were</w:t>
      </w:r>
      <w:r w:rsidR="008F46EF">
        <w:rPr>
          <w:rFonts w:cs="Arial"/>
          <w:color w:val="000000" w:themeColor="text1"/>
          <w:szCs w:val="22"/>
        </w:rPr>
        <w:t xml:space="preserve"> </w:t>
      </w:r>
      <w:r w:rsidR="0090736B" w:rsidRPr="008A566D">
        <w:rPr>
          <w:rFonts w:cs="Arial"/>
          <w:color w:val="000000" w:themeColor="text1"/>
          <w:szCs w:val="22"/>
        </w:rPr>
        <w:t>recorded in Q</w:t>
      </w:r>
      <w:r w:rsidR="00AA3784">
        <w:rPr>
          <w:rFonts w:cs="Arial"/>
          <w:color w:val="000000" w:themeColor="text1"/>
          <w:szCs w:val="22"/>
        </w:rPr>
        <w:t>3</w:t>
      </w:r>
      <w:r w:rsidR="00E519F8">
        <w:rPr>
          <w:rFonts w:cs="Arial"/>
          <w:color w:val="000000" w:themeColor="text1"/>
          <w:szCs w:val="22"/>
        </w:rPr>
        <w:t>,</w:t>
      </w:r>
      <w:r w:rsidR="00AA3784">
        <w:rPr>
          <w:rFonts w:cs="Arial"/>
          <w:color w:val="000000" w:themeColor="text1"/>
          <w:szCs w:val="22"/>
        </w:rPr>
        <w:t xml:space="preserve"> </w:t>
      </w:r>
      <w:r w:rsidR="00E30DA5">
        <w:rPr>
          <w:rFonts w:cs="Arial"/>
          <w:color w:val="000000" w:themeColor="text1"/>
          <w:szCs w:val="22"/>
        </w:rPr>
        <w:t>up</w:t>
      </w:r>
      <w:r w:rsidR="00BD3BDE">
        <w:rPr>
          <w:rFonts w:cs="Arial"/>
          <w:color w:val="000000" w:themeColor="text1"/>
          <w:szCs w:val="22"/>
        </w:rPr>
        <w:t xml:space="preserve"> from </w:t>
      </w:r>
      <w:r w:rsidR="00AA3784">
        <w:rPr>
          <w:rFonts w:cs="Arial"/>
          <w:color w:val="000000" w:themeColor="text1"/>
          <w:szCs w:val="22"/>
        </w:rPr>
        <w:t>175</w:t>
      </w:r>
      <w:r w:rsidR="00E519F8">
        <w:rPr>
          <w:rFonts w:cs="Arial"/>
          <w:color w:val="000000" w:themeColor="text1"/>
          <w:szCs w:val="22"/>
        </w:rPr>
        <w:t xml:space="preserve"> in the </w:t>
      </w:r>
      <w:r w:rsidR="00981A9F">
        <w:rPr>
          <w:rFonts w:cs="Arial"/>
          <w:color w:val="000000" w:themeColor="text1"/>
          <w:szCs w:val="22"/>
        </w:rPr>
        <w:t xml:space="preserve">preceding </w:t>
      </w:r>
      <w:r w:rsidR="00E519F8">
        <w:rPr>
          <w:rFonts w:cs="Arial"/>
          <w:color w:val="000000" w:themeColor="text1"/>
          <w:szCs w:val="22"/>
        </w:rPr>
        <w:t>Q</w:t>
      </w:r>
      <w:r w:rsidR="008459C9">
        <w:rPr>
          <w:rFonts w:cs="Arial"/>
          <w:color w:val="000000" w:themeColor="text1"/>
          <w:szCs w:val="22"/>
        </w:rPr>
        <w:t>2</w:t>
      </w:r>
      <w:r w:rsidR="000D0075">
        <w:rPr>
          <w:rFonts w:cs="Arial"/>
          <w:color w:val="000000" w:themeColor="text1"/>
          <w:szCs w:val="22"/>
        </w:rPr>
        <w:t xml:space="preserve"> </w:t>
      </w:r>
      <w:r w:rsidR="00E30DA5">
        <w:rPr>
          <w:rFonts w:cs="Arial"/>
          <w:color w:val="000000" w:themeColor="text1"/>
          <w:szCs w:val="22"/>
        </w:rPr>
        <w:t xml:space="preserve">and </w:t>
      </w:r>
      <w:r w:rsidR="001F502A">
        <w:rPr>
          <w:rFonts w:cs="Arial"/>
          <w:color w:val="000000" w:themeColor="text1"/>
          <w:szCs w:val="22"/>
        </w:rPr>
        <w:t xml:space="preserve">also </w:t>
      </w:r>
      <w:r w:rsidR="008908AC">
        <w:rPr>
          <w:rFonts w:cs="Arial"/>
          <w:color w:val="000000" w:themeColor="text1"/>
          <w:szCs w:val="22"/>
        </w:rPr>
        <w:t xml:space="preserve">up </w:t>
      </w:r>
      <w:r w:rsidR="001F502A">
        <w:rPr>
          <w:rFonts w:cs="Arial"/>
          <w:color w:val="000000" w:themeColor="text1"/>
          <w:szCs w:val="22"/>
        </w:rPr>
        <w:t>compared</w:t>
      </w:r>
      <w:r w:rsidR="00F03224">
        <w:rPr>
          <w:rFonts w:cs="Arial"/>
          <w:color w:val="000000" w:themeColor="text1"/>
          <w:szCs w:val="22"/>
        </w:rPr>
        <w:t xml:space="preserve"> to </w:t>
      </w:r>
      <w:r w:rsidR="00981A9F">
        <w:rPr>
          <w:rFonts w:cs="Arial"/>
          <w:color w:val="000000" w:themeColor="text1"/>
          <w:szCs w:val="22"/>
        </w:rPr>
        <w:t>Q</w:t>
      </w:r>
      <w:r w:rsidR="00AA3784">
        <w:rPr>
          <w:rFonts w:cs="Arial"/>
          <w:color w:val="000000" w:themeColor="text1"/>
          <w:szCs w:val="22"/>
        </w:rPr>
        <w:t>3</w:t>
      </w:r>
      <w:r w:rsidR="00981A9F">
        <w:rPr>
          <w:rFonts w:cs="Arial"/>
          <w:color w:val="000000" w:themeColor="text1"/>
          <w:szCs w:val="22"/>
        </w:rPr>
        <w:t xml:space="preserve"> in 2</w:t>
      </w:r>
      <w:r w:rsidR="00F07203">
        <w:rPr>
          <w:rFonts w:cs="Arial"/>
          <w:color w:val="000000" w:themeColor="text1"/>
          <w:szCs w:val="22"/>
        </w:rPr>
        <w:t>3</w:t>
      </w:r>
      <w:r w:rsidR="00981A9F">
        <w:rPr>
          <w:rFonts w:cs="Arial"/>
          <w:color w:val="000000" w:themeColor="text1"/>
          <w:szCs w:val="22"/>
        </w:rPr>
        <w:t>/2</w:t>
      </w:r>
      <w:r w:rsidR="00F07203">
        <w:rPr>
          <w:rFonts w:cs="Arial"/>
          <w:color w:val="000000" w:themeColor="text1"/>
          <w:szCs w:val="22"/>
        </w:rPr>
        <w:t>4</w:t>
      </w:r>
      <w:r w:rsidR="00981A9F">
        <w:rPr>
          <w:rFonts w:cs="Arial"/>
          <w:color w:val="000000" w:themeColor="text1"/>
          <w:szCs w:val="22"/>
        </w:rPr>
        <w:t xml:space="preserve"> </w:t>
      </w:r>
      <w:r w:rsidR="000D0075">
        <w:rPr>
          <w:rFonts w:cs="Arial"/>
          <w:color w:val="000000" w:themeColor="text1"/>
          <w:szCs w:val="22"/>
        </w:rPr>
        <w:t xml:space="preserve">which </w:t>
      </w:r>
      <w:r w:rsidR="00AB3D4D">
        <w:rPr>
          <w:rFonts w:cs="Arial"/>
          <w:color w:val="000000" w:themeColor="text1"/>
          <w:szCs w:val="22"/>
        </w:rPr>
        <w:t xml:space="preserve">had </w:t>
      </w:r>
      <w:r w:rsidR="00AA3784">
        <w:rPr>
          <w:rFonts w:cs="Arial"/>
          <w:color w:val="000000" w:themeColor="text1"/>
          <w:szCs w:val="22"/>
        </w:rPr>
        <w:t>189</w:t>
      </w:r>
      <w:r w:rsidR="00981A9F">
        <w:rPr>
          <w:rFonts w:cs="Arial"/>
          <w:color w:val="000000" w:themeColor="text1"/>
          <w:szCs w:val="22"/>
        </w:rPr>
        <w:t xml:space="preserve"> deaths.</w:t>
      </w:r>
      <w:r w:rsidR="008459C9">
        <w:rPr>
          <w:rFonts w:cs="Arial"/>
          <w:color w:val="000000" w:themeColor="text1"/>
          <w:szCs w:val="22"/>
        </w:rPr>
        <w:t xml:space="preserve"> A regional increase has been identified by Medical Examiners across the north of England who have estimated an approximate 20% increase in total deaths (hospital and community) compared to last winter.</w:t>
      </w:r>
      <w:r w:rsidR="00981A9F">
        <w:rPr>
          <w:rFonts w:cs="Arial"/>
          <w:color w:val="000000" w:themeColor="text1"/>
          <w:szCs w:val="22"/>
        </w:rPr>
        <w:t xml:space="preserve"> T</w:t>
      </w:r>
      <w:r w:rsidRPr="008A566D">
        <w:rPr>
          <w:rFonts w:cs="Arial"/>
          <w:color w:val="000000" w:themeColor="text1"/>
          <w:szCs w:val="22"/>
        </w:rPr>
        <w:t>his data is not risk-adjusted so takes no account of</w:t>
      </w:r>
      <w:r w:rsidR="00E519F8">
        <w:rPr>
          <w:rFonts w:cs="Arial"/>
          <w:color w:val="000000" w:themeColor="text1"/>
          <w:szCs w:val="22"/>
        </w:rPr>
        <w:t xml:space="preserve"> the unique characteristics of individual</w:t>
      </w:r>
      <w:r w:rsidRPr="008A566D">
        <w:rPr>
          <w:rFonts w:cs="Arial"/>
          <w:color w:val="000000" w:themeColor="text1"/>
          <w:szCs w:val="22"/>
        </w:rPr>
        <w:t xml:space="preserve"> admissions. </w:t>
      </w:r>
      <w:r w:rsidR="00B35EBB" w:rsidRPr="008A566D">
        <w:rPr>
          <w:rFonts w:cs="Arial"/>
          <w:color w:val="000000" w:themeColor="text1"/>
          <w:szCs w:val="22"/>
        </w:rPr>
        <w:t>Comparison with the national mortality rate is also shown where data is available</w:t>
      </w:r>
      <w:r w:rsidRPr="008A566D">
        <w:rPr>
          <w:rFonts w:cs="Arial"/>
          <w:color w:val="000000" w:themeColor="text1"/>
          <w:szCs w:val="22"/>
        </w:rPr>
        <w:t xml:space="preserve"> (shown in the darker blue line </w:t>
      </w:r>
      <w:r w:rsidR="00F63985" w:rsidRPr="008A566D">
        <w:rPr>
          <w:rFonts w:cs="Arial"/>
          <w:color w:val="000000" w:themeColor="text1"/>
          <w:szCs w:val="22"/>
        </w:rPr>
        <w:t>in</w:t>
      </w:r>
      <w:r w:rsidRPr="008A566D">
        <w:rPr>
          <w:rFonts w:cs="Arial"/>
          <w:color w:val="000000" w:themeColor="text1"/>
          <w:szCs w:val="22"/>
        </w:rPr>
        <w:t xml:space="preserve"> Figure</w:t>
      </w:r>
      <w:r w:rsidR="00F63985" w:rsidRPr="008A566D">
        <w:rPr>
          <w:rFonts w:cs="Arial"/>
          <w:color w:val="000000" w:themeColor="text1"/>
          <w:szCs w:val="22"/>
        </w:rPr>
        <w:t>s</w:t>
      </w:r>
      <w:r w:rsidRPr="008A566D">
        <w:rPr>
          <w:rFonts w:cs="Arial"/>
          <w:color w:val="000000" w:themeColor="text1"/>
          <w:szCs w:val="22"/>
        </w:rPr>
        <w:t xml:space="preserve"> 1</w:t>
      </w:r>
      <w:r w:rsidR="00F63985" w:rsidRPr="008A566D">
        <w:rPr>
          <w:rFonts w:cs="Arial"/>
          <w:color w:val="000000" w:themeColor="text1"/>
          <w:szCs w:val="22"/>
        </w:rPr>
        <w:t xml:space="preserve"> and 2</w:t>
      </w:r>
      <w:r w:rsidRPr="008A566D">
        <w:rPr>
          <w:rFonts w:cs="Arial"/>
          <w:color w:val="000000" w:themeColor="text1"/>
          <w:szCs w:val="22"/>
        </w:rPr>
        <w:t>). This demonstrates that the peaks and troughs we see in HDFT are often mirrored at the national level</w:t>
      </w:r>
      <w:r w:rsidR="00F63985" w:rsidRPr="008A566D">
        <w:rPr>
          <w:rFonts w:cs="Arial"/>
          <w:color w:val="000000" w:themeColor="text1"/>
          <w:szCs w:val="22"/>
        </w:rPr>
        <w:t>.</w:t>
      </w:r>
      <w:r w:rsidR="0047364E" w:rsidRPr="008A566D">
        <w:rPr>
          <w:rFonts w:cs="Arial"/>
          <w:color w:val="000000" w:themeColor="text1"/>
          <w:szCs w:val="22"/>
        </w:rPr>
        <w:t xml:space="preserve"> </w:t>
      </w:r>
      <w:r w:rsidR="00F21DC6" w:rsidRPr="008A566D">
        <w:rPr>
          <w:rFonts w:cs="Arial"/>
          <w:color w:val="000000" w:themeColor="text1"/>
          <w:szCs w:val="22"/>
        </w:rPr>
        <w:t>Figure 2 gives a “zoomed in” view of</w:t>
      </w:r>
      <w:r w:rsidR="00C47A11" w:rsidRPr="008A566D">
        <w:rPr>
          <w:rFonts w:cs="Arial"/>
          <w:color w:val="000000" w:themeColor="text1"/>
          <w:szCs w:val="22"/>
        </w:rPr>
        <w:t xml:space="preserve"> data from the last 2 years</w:t>
      </w:r>
      <w:r w:rsidR="008A566D" w:rsidRPr="008A566D">
        <w:rPr>
          <w:rFonts w:cs="Arial"/>
          <w:color w:val="000000" w:themeColor="text1"/>
          <w:szCs w:val="22"/>
        </w:rPr>
        <w:t>.</w:t>
      </w:r>
      <w:r w:rsidR="00E3552D" w:rsidRPr="008A566D">
        <w:rPr>
          <w:rFonts w:cs="Arial"/>
          <w:color w:val="000000" w:themeColor="text1"/>
          <w:szCs w:val="22"/>
        </w:rPr>
        <w:t xml:space="preserve"> </w:t>
      </w:r>
      <w:r w:rsidR="001F502A">
        <w:rPr>
          <w:rFonts w:cs="Arial"/>
          <w:color w:val="000000" w:themeColor="text1"/>
          <w:szCs w:val="22"/>
        </w:rPr>
        <w:t xml:space="preserve">Note that the 12 </w:t>
      </w:r>
      <w:r w:rsidR="00AB3D4D">
        <w:rPr>
          <w:rFonts w:cs="Arial"/>
          <w:color w:val="000000" w:themeColor="text1"/>
          <w:szCs w:val="22"/>
        </w:rPr>
        <w:t xml:space="preserve">month rolling mortality </w:t>
      </w:r>
      <w:r w:rsidR="00217F16">
        <w:rPr>
          <w:rFonts w:cs="Arial"/>
          <w:color w:val="000000" w:themeColor="text1"/>
          <w:szCs w:val="22"/>
        </w:rPr>
        <w:t>has generally declined since 20</w:t>
      </w:r>
      <w:r w:rsidR="00E30DA5">
        <w:rPr>
          <w:rFonts w:cs="Arial"/>
          <w:color w:val="000000" w:themeColor="text1"/>
          <w:szCs w:val="22"/>
        </w:rPr>
        <w:t>10 (apart from the impact of the Covid pandemic)</w:t>
      </w:r>
      <w:r w:rsidR="00AB3D4D">
        <w:rPr>
          <w:rFonts w:cs="Arial"/>
          <w:color w:val="000000" w:themeColor="text1"/>
          <w:szCs w:val="22"/>
        </w:rPr>
        <w:t xml:space="preserve">. It should </w:t>
      </w:r>
      <w:r w:rsidR="00073881">
        <w:rPr>
          <w:rFonts w:cs="Arial"/>
          <w:color w:val="000000" w:themeColor="text1"/>
          <w:szCs w:val="22"/>
        </w:rPr>
        <w:t xml:space="preserve">be </w:t>
      </w:r>
      <w:r w:rsidR="00AB3D4D">
        <w:rPr>
          <w:rFonts w:cs="Arial"/>
          <w:color w:val="000000" w:themeColor="text1"/>
          <w:szCs w:val="22"/>
        </w:rPr>
        <w:t>remembered that the denominator for this data is the number of hospital episodes, so as we increase elective work (including endoscopies), the percentage of deaths would be expected to fall.</w:t>
      </w:r>
    </w:p>
    <w:p w14:paraId="12D5F87B" w14:textId="3B4F3261" w:rsidR="00073579" w:rsidRPr="008A566D" w:rsidRDefault="00AA3784" w:rsidP="00D6128E">
      <w:pPr>
        <w:spacing w:before="0"/>
        <w:ind w:right="318"/>
        <w:rPr>
          <w:rFonts w:cs="Arial"/>
          <w:color w:val="000000" w:themeColor="text1"/>
          <w:szCs w:val="22"/>
        </w:rPr>
      </w:pPr>
      <w:r>
        <w:rPr>
          <w:noProof/>
        </w:rPr>
        <w:drawing>
          <wp:inline distT="0" distB="0" distL="0" distR="0" wp14:anchorId="684C7FE4" wp14:editId="72BCBEC0">
            <wp:extent cx="5731510" cy="3739515"/>
            <wp:effectExtent l="0" t="0" r="254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9744B4" w14:textId="2E80164F" w:rsidR="001C3114" w:rsidRDefault="0039536B" w:rsidP="00BF6BC0">
      <w:pPr>
        <w:spacing w:before="0" w:after="0"/>
        <w:ind w:left="720" w:firstLine="720"/>
        <w:rPr>
          <w:rFonts w:cs="Arial"/>
          <w:color w:val="FF0000"/>
          <w:szCs w:val="22"/>
        </w:rPr>
      </w:pPr>
      <w:r w:rsidRPr="0086794B">
        <w:rPr>
          <w:rFonts w:eastAsiaTheme="minorHAnsi" w:cstheme="minorBidi"/>
          <w:b/>
          <w:bCs/>
          <w:sz w:val="18"/>
          <w:szCs w:val="18"/>
          <w:u w:val="single"/>
          <w:lang w:eastAsia="en-US"/>
        </w:rPr>
        <w:t>Figure 1:</w:t>
      </w:r>
      <w:r w:rsidRPr="0039536B">
        <w:rPr>
          <w:rFonts w:eastAsiaTheme="minorHAnsi" w:cstheme="minorBidi"/>
          <w:bCs/>
          <w:sz w:val="18"/>
          <w:szCs w:val="18"/>
          <w:lang w:eastAsia="en-US"/>
        </w:rPr>
        <w:t xml:space="preserve"> Crude </w:t>
      </w:r>
      <w:r w:rsidR="003773A2">
        <w:rPr>
          <w:rFonts w:eastAsiaTheme="minorHAnsi" w:cstheme="minorBidi"/>
          <w:bCs/>
          <w:sz w:val="18"/>
          <w:szCs w:val="18"/>
          <w:lang w:eastAsia="en-US"/>
        </w:rPr>
        <w:t>mortality rates over the last 1</w:t>
      </w:r>
      <w:r w:rsidR="00AB3D4D">
        <w:rPr>
          <w:rFonts w:eastAsiaTheme="minorHAnsi" w:cstheme="minorBidi"/>
          <w:bCs/>
          <w:sz w:val="18"/>
          <w:szCs w:val="18"/>
          <w:lang w:eastAsia="en-US"/>
        </w:rPr>
        <w:t>4</w:t>
      </w:r>
      <w:r w:rsidRPr="0039536B">
        <w:rPr>
          <w:rFonts w:eastAsiaTheme="minorHAnsi" w:cstheme="minorBidi"/>
          <w:bCs/>
          <w:sz w:val="18"/>
          <w:szCs w:val="18"/>
          <w:lang w:eastAsia="en-US"/>
        </w:rPr>
        <w:t xml:space="preserve"> years</w:t>
      </w:r>
      <w:r w:rsidR="003773A2">
        <w:rPr>
          <w:rFonts w:eastAsiaTheme="minorHAnsi" w:cstheme="minorBidi"/>
          <w:bCs/>
          <w:sz w:val="18"/>
          <w:szCs w:val="18"/>
          <w:lang w:eastAsia="en-US"/>
        </w:rPr>
        <w:t xml:space="preserve"> (</w:t>
      </w:r>
      <w:r w:rsidR="00DC0384">
        <w:rPr>
          <w:rFonts w:eastAsiaTheme="minorHAnsi" w:cstheme="minorBidi"/>
          <w:bCs/>
          <w:sz w:val="18"/>
          <w:szCs w:val="18"/>
          <w:lang w:eastAsia="en-US"/>
        </w:rPr>
        <w:t xml:space="preserve">%deaths per </w:t>
      </w:r>
      <w:r w:rsidR="00777DFA">
        <w:rPr>
          <w:rFonts w:eastAsiaTheme="minorHAnsi" w:cstheme="minorBidi"/>
          <w:bCs/>
          <w:sz w:val="18"/>
          <w:szCs w:val="18"/>
          <w:lang w:eastAsia="en-US"/>
        </w:rPr>
        <w:t>hospital</w:t>
      </w:r>
      <w:r w:rsidR="00DC0384">
        <w:rPr>
          <w:rFonts w:eastAsiaTheme="minorHAnsi" w:cstheme="minorBidi"/>
          <w:bCs/>
          <w:sz w:val="18"/>
          <w:szCs w:val="18"/>
          <w:lang w:eastAsia="en-US"/>
        </w:rPr>
        <w:t xml:space="preserve"> episode</w:t>
      </w:r>
      <w:r w:rsidRPr="0039536B">
        <w:rPr>
          <w:rFonts w:eastAsiaTheme="minorHAnsi" w:cstheme="minorBidi"/>
          <w:bCs/>
          <w:sz w:val="18"/>
          <w:szCs w:val="18"/>
          <w:lang w:eastAsia="en-US"/>
        </w:rPr>
        <w:t>)</w:t>
      </w:r>
      <w:r w:rsidR="001C3114">
        <w:rPr>
          <w:rFonts w:cs="Arial"/>
          <w:color w:val="FF0000"/>
          <w:szCs w:val="22"/>
        </w:rPr>
        <w:br w:type="page"/>
      </w:r>
    </w:p>
    <w:p w14:paraId="4450CEE5" w14:textId="6EB6AC52" w:rsidR="00E00ADC" w:rsidRDefault="003052F0" w:rsidP="00D924C0">
      <w:pPr>
        <w:pStyle w:val="ListParagraph"/>
        <w:spacing w:before="0" w:after="0"/>
        <w:ind w:left="0" w:right="318"/>
        <w:rPr>
          <w:rFonts w:cs="Arial"/>
          <w:color w:val="FF0000"/>
          <w:szCs w:val="22"/>
        </w:rPr>
      </w:pPr>
      <w:r>
        <w:rPr>
          <w:noProof/>
        </w:rPr>
        <w:lastRenderedPageBreak/>
        <w:drawing>
          <wp:inline distT="0" distB="0" distL="0" distR="0" wp14:anchorId="76B73F5D" wp14:editId="5A1683C9">
            <wp:extent cx="5731510" cy="3243262"/>
            <wp:effectExtent l="0" t="0" r="2540"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6D4DED" w14:textId="77777777" w:rsidR="005E2C2A" w:rsidRDefault="005E2C2A" w:rsidP="00BF6BC0">
      <w:pPr>
        <w:pStyle w:val="ListParagraph"/>
        <w:spacing w:before="0" w:after="0"/>
        <w:ind w:left="1440" w:right="318"/>
        <w:rPr>
          <w:rFonts w:cs="Arial"/>
          <w:b/>
          <w:bCs/>
          <w:color w:val="000000" w:themeColor="text1"/>
          <w:sz w:val="18"/>
          <w:szCs w:val="18"/>
          <w:u w:val="single"/>
        </w:rPr>
      </w:pPr>
    </w:p>
    <w:p w14:paraId="5F013577" w14:textId="66311F07" w:rsidR="0021565A" w:rsidRPr="00F63985" w:rsidRDefault="003A5B6E" w:rsidP="00BF6BC0">
      <w:pPr>
        <w:pStyle w:val="ListParagraph"/>
        <w:spacing w:before="0" w:after="0"/>
        <w:ind w:left="1440" w:right="318"/>
        <w:rPr>
          <w:rFonts w:cs="Arial"/>
          <w:color w:val="000000" w:themeColor="text1"/>
          <w:sz w:val="18"/>
          <w:szCs w:val="18"/>
        </w:rPr>
      </w:pPr>
      <w:r w:rsidRPr="00F63985">
        <w:rPr>
          <w:rFonts w:cs="Arial"/>
          <w:b/>
          <w:bCs/>
          <w:color w:val="000000" w:themeColor="text1"/>
          <w:sz w:val="18"/>
          <w:szCs w:val="18"/>
          <w:u w:val="single"/>
        </w:rPr>
        <w:t>Figure 2:</w:t>
      </w:r>
      <w:r w:rsidRPr="00F63985">
        <w:rPr>
          <w:rFonts w:cs="Arial"/>
          <w:color w:val="000000" w:themeColor="text1"/>
          <w:sz w:val="18"/>
          <w:szCs w:val="18"/>
        </w:rPr>
        <w:t xml:space="preserve"> Expanded crude mortality rates over the last 2 years</w:t>
      </w:r>
      <w:r w:rsidR="00DC0384">
        <w:rPr>
          <w:rFonts w:cs="Arial"/>
          <w:color w:val="000000" w:themeColor="text1"/>
          <w:sz w:val="18"/>
          <w:szCs w:val="18"/>
        </w:rPr>
        <w:t xml:space="preserve"> (%deaths per hospital episode</w:t>
      </w:r>
      <w:r w:rsidRPr="00F63985">
        <w:rPr>
          <w:rFonts w:cs="Arial"/>
          <w:color w:val="000000" w:themeColor="text1"/>
          <w:sz w:val="18"/>
          <w:szCs w:val="18"/>
        </w:rPr>
        <w:t>)</w:t>
      </w:r>
    </w:p>
    <w:p w14:paraId="3B6D49C5" w14:textId="77777777" w:rsidR="0021565A" w:rsidRPr="00E00ADC" w:rsidRDefault="0021565A" w:rsidP="00E00ADC">
      <w:pPr>
        <w:pStyle w:val="ListParagraph"/>
        <w:spacing w:before="0" w:after="0"/>
        <w:ind w:left="709" w:right="318"/>
        <w:rPr>
          <w:rFonts w:cs="Arial"/>
          <w:color w:val="FF0000"/>
          <w:szCs w:val="22"/>
        </w:rPr>
      </w:pPr>
    </w:p>
    <w:p w14:paraId="33CF229F" w14:textId="77777777" w:rsidR="004054AF" w:rsidRPr="004054AF" w:rsidRDefault="009C538B" w:rsidP="004054AF">
      <w:pPr>
        <w:pStyle w:val="ListParagraph"/>
        <w:numPr>
          <w:ilvl w:val="1"/>
          <w:numId w:val="6"/>
        </w:numPr>
        <w:spacing w:before="0" w:after="0"/>
        <w:ind w:left="0" w:right="318" w:firstLine="0"/>
        <w:rPr>
          <w:rFonts w:cs="Arial"/>
          <w:bCs/>
          <w:szCs w:val="22"/>
        </w:rPr>
      </w:pPr>
      <w:r w:rsidRPr="004044EE">
        <w:rPr>
          <w:rFonts w:cs="Arial"/>
          <w:b/>
          <w:bCs/>
          <w:szCs w:val="22"/>
        </w:rPr>
        <w:t xml:space="preserve">Standardised </w:t>
      </w:r>
      <w:r w:rsidR="004044EE" w:rsidRPr="004044EE">
        <w:rPr>
          <w:rFonts w:cs="Arial"/>
          <w:b/>
          <w:bCs/>
          <w:szCs w:val="22"/>
        </w:rPr>
        <w:t xml:space="preserve">Hospital </w:t>
      </w:r>
      <w:r w:rsidRPr="004044EE">
        <w:rPr>
          <w:rFonts w:cs="Arial"/>
          <w:b/>
          <w:bCs/>
          <w:szCs w:val="22"/>
        </w:rPr>
        <w:t xml:space="preserve">Mortality </w:t>
      </w:r>
      <w:r w:rsidR="004044EE" w:rsidRPr="004044EE">
        <w:rPr>
          <w:rFonts w:cs="Arial"/>
          <w:b/>
          <w:bCs/>
          <w:szCs w:val="22"/>
        </w:rPr>
        <w:t>Index</w:t>
      </w:r>
      <w:r w:rsidRPr="004044EE">
        <w:rPr>
          <w:rFonts w:cs="Arial"/>
          <w:b/>
          <w:bCs/>
          <w:szCs w:val="22"/>
        </w:rPr>
        <w:t xml:space="preserve"> (SHMI)</w:t>
      </w:r>
      <w:r w:rsidR="005769C6" w:rsidRPr="004044EE">
        <w:rPr>
          <w:rFonts w:cs="Arial"/>
          <w:szCs w:val="22"/>
        </w:rPr>
        <w:tab/>
      </w:r>
      <w:r w:rsidR="006E7A95" w:rsidRPr="004044EE">
        <w:rPr>
          <w:rFonts w:cs="Arial"/>
          <w:noProof/>
          <w:szCs w:val="22"/>
        </w:rPr>
        <w:t xml:space="preserve"> </w:t>
      </w:r>
    </w:p>
    <w:p w14:paraId="460CE553" w14:textId="64822148" w:rsidR="00EE28C3" w:rsidRPr="004054AF" w:rsidRDefault="00081489" w:rsidP="004054AF">
      <w:pPr>
        <w:pStyle w:val="ListParagraph"/>
        <w:spacing w:before="0" w:after="0"/>
        <w:ind w:left="0" w:right="318"/>
        <w:rPr>
          <w:rFonts w:cs="Arial"/>
          <w:bCs/>
          <w:szCs w:val="22"/>
        </w:rPr>
      </w:pPr>
      <w:r w:rsidRPr="004054AF">
        <w:rPr>
          <w:rFonts w:cs="Arial"/>
          <w:bCs/>
          <w:szCs w:val="22"/>
        </w:rPr>
        <w:t xml:space="preserve">Figure </w:t>
      </w:r>
      <w:r w:rsidR="00351CE4" w:rsidRPr="004054AF">
        <w:rPr>
          <w:rFonts w:cs="Arial"/>
          <w:bCs/>
          <w:szCs w:val="22"/>
        </w:rPr>
        <w:t>3</w:t>
      </w:r>
      <w:r w:rsidRPr="004054AF">
        <w:rPr>
          <w:rFonts w:cs="Arial"/>
          <w:bCs/>
          <w:szCs w:val="22"/>
        </w:rPr>
        <w:t xml:space="preserve"> shows </w:t>
      </w:r>
      <w:r w:rsidR="004054AF" w:rsidRPr="004054AF">
        <w:rPr>
          <w:rFonts w:cs="Arial"/>
          <w:bCs/>
          <w:szCs w:val="22"/>
        </w:rPr>
        <w:t>our NHS England 12 month rolling SHMI compared to regional peer organisation, with Figure 4 comparing HDFT to national peers:</w:t>
      </w:r>
      <w:r w:rsidRPr="004054AF">
        <w:rPr>
          <w:rFonts w:cs="Arial"/>
          <w:bCs/>
          <w:szCs w:val="22"/>
        </w:rPr>
        <w:t xml:space="preserve"> </w:t>
      </w:r>
      <w:r w:rsidR="008459C9" w:rsidRPr="008459C9">
        <w:rPr>
          <w:b/>
          <w:noProof/>
        </w:rPr>
        <w:drawing>
          <wp:inline distT="0" distB="0" distL="0" distR="0" wp14:anchorId="6E4BAC3C" wp14:editId="609B772C">
            <wp:extent cx="5731510" cy="39700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970020"/>
                    </a:xfrm>
                    <a:prstGeom prst="rect">
                      <a:avLst/>
                    </a:prstGeom>
                  </pic:spPr>
                </pic:pic>
              </a:graphicData>
            </a:graphic>
          </wp:inline>
        </w:drawing>
      </w:r>
    </w:p>
    <w:p w14:paraId="7F46C99F" w14:textId="2476549F" w:rsidR="00EE28C3" w:rsidRDefault="00B96978" w:rsidP="0012759E">
      <w:pPr>
        <w:spacing w:before="0" w:after="0"/>
        <w:ind w:left="720" w:right="318"/>
        <w:rPr>
          <w:rFonts w:cs="Arial"/>
          <w:bCs/>
          <w:sz w:val="18"/>
          <w:szCs w:val="18"/>
        </w:rPr>
      </w:pPr>
      <w:r>
        <w:rPr>
          <w:rFonts w:cs="Arial"/>
          <w:b/>
          <w:bCs/>
          <w:szCs w:val="22"/>
        </w:rPr>
        <w:tab/>
      </w:r>
      <w:r w:rsidRPr="00B96978">
        <w:rPr>
          <w:rFonts w:cs="Arial"/>
          <w:b/>
          <w:bCs/>
          <w:sz w:val="18"/>
          <w:szCs w:val="18"/>
          <w:u w:val="single"/>
        </w:rPr>
        <w:t xml:space="preserve">Figure </w:t>
      </w:r>
      <w:r w:rsidR="008C7D69">
        <w:rPr>
          <w:rFonts w:cs="Arial"/>
          <w:b/>
          <w:bCs/>
          <w:sz w:val="18"/>
          <w:szCs w:val="18"/>
          <w:u w:val="single"/>
        </w:rPr>
        <w:t>3</w:t>
      </w:r>
      <w:r w:rsidR="004054AF">
        <w:rPr>
          <w:rFonts w:cs="Arial"/>
          <w:bCs/>
          <w:sz w:val="18"/>
          <w:szCs w:val="18"/>
        </w:rPr>
        <w:t>: HDFT SHMI since December</w:t>
      </w:r>
      <w:r w:rsidRPr="00B96978">
        <w:rPr>
          <w:rFonts w:cs="Arial"/>
          <w:bCs/>
          <w:sz w:val="18"/>
          <w:szCs w:val="18"/>
        </w:rPr>
        <w:t xml:space="preserve"> 202</w:t>
      </w:r>
      <w:r w:rsidR="007060A0">
        <w:rPr>
          <w:rFonts w:cs="Arial"/>
          <w:bCs/>
          <w:sz w:val="18"/>
          <w:szCs w:val="18"/>
        </w:rPr>
        <w:t>2</w:t>
      </w:r>
      <w:r w:rsidR="004054AF">
        <w:rPr>
          <w:rFonts w:cs="Arial"/>
          <w:bCs/>
          <w:sz w:val="18"/>
          <w:szCs w:val="18"/>
        </w:rPr>
        <w:t xml:space="preserve"> versus regional peers</w:t>
      </w:r>
    </w:p>
    <w:p w14:paraId="59D18A3F" w14:textId="77777777" w:rsidR="00B96978" w:rsidRPr="00B96978" w:rsidRDefault="00B96978" w:rsidP="0012759E">
      <w:pPr>
        <w:spacing w:before="0" w:after="0"/>
        <w:ind w:left="720" w:right="318"/>
        <w:rPr>
          <w:rFonts w:cs="Arial"/>
          <w:bCs/>
          <w:sz w:val="18"/>
          <w:szCs w:val="18"/>
        </w:rPr>
      </w:pPr>
    </w:p>
    <w:p w14:paraId="771CC2C1" w14:textId="7BD39F28" w:rsidR="00EE28C3" w:rsidRDefault="004054AF" w:rsidP="22E6DB4E">
      <w:pPr>
        <w:spacing w:before="0" w:after="0"/>
        <w:ind w:right="318"/>
        <w:rPr>
          <w:sz w:val="18"/>
          <w:szCs w:val="18"/>
        </w:rPr>
      </w:pPr>
      <w:r>
        <w:rPr>
          <w:noProof/>
        </w:rPr>
        <w:lastRenderedPageBreak/>
        <w:drawing>
          <wp:inline distT="0" distB="0" distL="0" distR="0" wp14:anchorId="312BC927" wp14:editId="0D399F17">
            <wp:extent cx="5731510" cy="42100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5731510" cy="4210050"/>
                    </a:xfrm>
                    <a:prstGeom prst="rect">
                      <a:avLst/>
                    </a:prstGeom>
                  </pic:spPr>
                </pic:pic>
              </a:graphicData>
            </a:graphic>
          </wp:inline>
        </w:drawing>
      </w:r>
      <w:r w:rsidR="00B96978">
        <w:tab/>
      </w:r>
      <w:r w:rsidR="00B96978" w:rsidRPr="22E6DB4E">
        <w:rPr>
          <w:rFonts w:cs="Arial"/>
          <w:b/>
          <w:bCs/>
          <w:sz w:val="18"/>
          <w:szCs w:val="18"/>
          <w:u w:val="single"/>
        </w:rPr>
        <w:t xml:space="preserve">Figure </w:t>
      </w:r>
      <w:r w:rsidR="008C7D69" w:rsidRPr="22E6DB4E">
        <w:rPr>
          <w:rFonts w:cs="Arial"/>
          <w:b/>
          <w:bCs/>
          <w:sz w:val="18"/>
          <w:szCs w:val="18"/>
          <w:u w:val="single"/>
        </w:rPr>
        <w:t>4</w:t>
      </w:r>
      <w:r w:rsidR="00B96978" w:rsidRPr="22E6DB4E">
        <w:rPr>
          <w:rFonts w:cs="Arial"/>
          <w:b/>
          <w:bCs/>
          <w:sz w:val="18"/>
          <w:szCs w:val="18"/>
          <w:u w:val="single"/>
        </w:rPr>
        <w:t>:</w:t>
      </w:r>
      <w:r w:rsidR="00B96978" w:rsidRPr="22E6DB4E">
        <w:rPr>
          <w:rFonts w:cs="Arial"/>
          <w:b/>
          <w:bCs/>
          <w:sz w:val="18"/>
          <w:szCs w:val="18"/>
        </w:rPr>
        <w:t xml:space="preserve"> </w:t>
      </w:r>
      <w:r w:rsidRPr="22E6DB4E">
        <w:rPr>
          <w:rFonts w:cs="Arial"/>
          <w:sz w:val="18"/>
          <w:szCs w:val="18"/>
        </w:rPr>
        <w:t>HDFT SHMI since December 2022 versus national peers</w:t>
      </w:r>
    </w:p>
    <w:p w14:paraId="5010C755" w14:textId="0143A439" w:rsidR="22E6DB4E" w:rsidRDefault="22E6DB4E" w:rsidP="22E6DB4E">
      <w:pPr>
        <w:rPr>
          <w:rFonts w:cs="Arial"/>
        </w:rPr>
      </w:pPr>
    </w:p>
    <w:p w14:paraId="42ED27A2" w14:textId="3040D9A3" w:rsidR="0093495F" w:rsidRDefault="0093495F" w:rsidP="008F122D">
      <w:pPr>
        <w:rPr>
          <w:rFonts w:cs="Arial"/>
          <w:b/>
          <w:bCs/>
          <w:szCs w:val="22"/>
        </w:rPr>
      </w:pPr>
      <w:r>
        <w:rPr>
          <w:rFonts w:cs="Arial"/>
          <w:bCs/>
          <w:szCs w:val="22"/>
        </w:rPr>
        <w:t>As can be seen, our SHMI has been rising since June 202</w:t>
      </w:r>
      <w:r w:rsidR="008F122D">
        <w:rPr>
          <w:rFonts w:cs="Arial"/>
          <w:bCs/>
          <w:szCs w:val="22"/>
        </w:rPr>
        <w:t>4. Further interrogation of the data shows that the number of deaths has remained fairly constant (Figure 5), but the number of expected deaths has almost halved (Figure 6):</w:t>
      </w:r>
    </w:p>
    <w:p w14:paraId="7D610878" w14:textId="77777777" w:rsidR="008F122D" w:rsidRDefault="008F122D" w:rsidP="22E6DB4E">
      <w:pPr>
        <w:spacing w:before="0" w:after="0" w:line="276" w:lineRule="auto"/>
        <w:ind w:right="318"/>
        <w:rPr>
          <w:rFonts w:eastAsiaTheme="minorEastAsia" w:cstheme="minorBidi"/>
          <w:lang w:eastAsia="en-US"/>
        </w:rPr>
      </w:pPr>
      <w:r>
        <w:rPr>
          <w:noProof/>
        </w:rPr>
        <w:drawing>
          <wp:inline distT="0" distB="0" distL="0" distR="0" wp14:anchorId="52A4D604" wp14:editId="33C6D4A2">
            <wp:extent cx="4572000" cy="22479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11281A" w14:textId="71C06FDB" w:rsidR="22E6DB4E" w:rsidRDefault="22E6DB4E" w:rsidP="22E6DB4E">
      <w:pPr>
        <w:spacing w:before="0" w:line="276" w:lineRule="auto"/>
        <w:ind w:firstLine="720"/>
        <w:jc w:val="left"/>
        <w:rPr>
          <w:rFonts w:eastAsiaTheme="minorEastAsia" w:cstheme="minorBidi"/>
          <w:b/>
          <w:bCs/>
          <w:sz w:val="18"/>
          <w:szCs w:val="18"/>
          <w:u w:val="single"/>
          <w:lang w:eastAsia="en-US"/>
        </w:rPr>
      </w:pPr>
    </w:p>
    <w:p w14:paraId="7E23FA68" w14:textId="28C08953" w:rsidR="00EE28C3" w:rsidRPr="008F122D" w:rsidRDefault="008F122D" w:rsidP="008F122D">
      <w:pPr>
        <w:spacing w:before="0" w:line="276" w:lineRule="auto"/>
        <w:ind w:firstLine="720"/>
        <w:jc w:val="left"/>
        <w:rPr>
          <w:rFonts w:eastAsiaTheme="minorHAnsi" w:cstheme="minorBidi"/>
          <w:bCs/>
          <w:sz w:val="18"/>
          <w:szCs w:val="18"/>
          <w:lang w:eastAsia="en-US"/>
        </w:rPr>
      </w:pPr>
      <w:r w:rsidRPr="008F122D">
        <w:rPr>
          <w:rFonts w:eastAsiaTheme="minorHAnsi" w:cstheme="minorBidi"/>
          <w:b/>
          <w:bCs/>
          <w:sz w:val="18"/>
          <w:szCs w:val="18"/>
          <w:u w:val="single"/>
          <w:lang w:eastAsia="en-US"/>
        </w:rPr>
        <w:t>Figure 5:</w:t>
      </w:r>
      <w:r w:rsidRPr="008F122D">
        <w:rPr>
          <w:rFonts w:eastAsiaTheme="minorHAnsi" w:cstheme="minorBidi"/>
          <w:bCs/>
          <w:sz w:val="18"/>
          <w:szCs w:val="18"/>
          <w:lang w:eastAsia="en-US"/>
        </w:rPr>
        <w:t xml:space="preserve"> Observed number of deaths (in hospital or within 30 days of discharge)</w:t>
      </w:r>
    </w:p>
    <w:p w14:paraId="72163B0E" w14:textId="7853E1BA" w:rsidR="0093495F" w:rsidRDefault="0093495F" w:rsidP="007D29FA">
      <w:pPr>
        <w:spacing w:before="0" w:line="276" w:lineRule="auto"/>
        <w:rPr>
          <w:rFonts w:eastAsiaTheme="minorHAnsi" w:cstheme="minorBidi"/>
          <w:bCs/>
          <w:szCs w:val="22"/>
          <w:lang w:eastAsia="en-US"/>
        </w:rPr>
      </w:pPr>
    </w:p>
    <w:p w14:paraId="450799DA" w14:textId="0E8EE333" w:rsidR="0093495F" w:rsidRDefault="0093495F" w:rsidP="008F122D">
      <w:pPr>
        <w:tabs>
          <w:tab w:val="left" w:pos="0"/>
        </w:tabs>
        <w:spacing w:before="0" w:line="276" w:lineRule="auto"/>
        <w:rPr>
          <w:rFonts w:eastAsiaTheme="minorHAnsi" w:cstheme="minorBidi"/>
          <w:bCs/>
          <w:szCs w:val="22"/>
          <w:lang w:eastAsia="en-US"/>
        </w:rPr>
      </w:pPr>
      <w:r>
        <w:rPr>
          <w:noProof/>
        </w:rPr>
        <w:lastRenderedPageBreak/>
        <w:drawing>
          <wp:inline distT="0" distB="0" distL="0" distR="0" wp14:anchorId="699F5D20" wp14:editId="0DBD8C79">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C83979" w14:textId="600311A0" w:rsidR="008F122D" w:rsidRDefault="008F122D" w:rsidP="008F122D">
      <w:pPr>
        <w:spacing w:before="0" w:line="276" w:lineRule="auto"/>
        <w:ind w:firstLine="720"/>
        <w:jc w:val="left"/>
        <w:rPr>
          <w:rFonts w:eastAsiaTheme="minorHAnsi" w:cstheme="minorBidi"/>
          <w:bCs/>
          <w:sz w:val="18"/>
          <w:szCs w:val="18"/>
          <w:lang w:eastAsia="en-US"/>
        </w:rPr>
      </w:pPr>
      <w:r w:rsidRPr="008F122D">
        <w:rPr>
          <w:rFonts w:eastAsiaTheme="minorHAnsi" w:cstheme="minorBidi"/>
          <w:b/>
          <w:bCs/>
          <w:sz w:val="18"/>
          <w:szCs w:val="18"/>
          <w:u w:val="single"/>
          <w:lang w:eastAsia="en-US"/>
        </w:rPr>
        <w:t>F</w:t>
      </w:r>
      <w:r>
        <w:rPr>
          <w:rFonts w:eastAsiaTheme="minorHAnsi" w:cstheme="minorBidi"/>
          <w:b/>
          <w:bCs/>
          <w:sz w:val="18"/>
          <w:szCs w:val="18"/>
          <w:u w:val="single"/>
          <w:lang w:eastAsia="en-US"/>
        </w:rPr>
        <w:t>igure 6</w:t>
      </w:r>
      <w:r w:rsidRPr="008F122D">
        <w:rPr>
          <w:rFonts w:eastAsiaTheme="minorHAnsi" w:cstheme="minorBidi"/>
          <w:b/>
          <w:bCs/>
          <w:sz w:val="18"/>
          <w:szCs w:val="18"/>
          <w:u w:val="single"/>
          <w:lang w:eastAsia="en-US"/>
        </w:rPr>
        <w:t>:</w:t>
      </w:r>
      <w:r w:rsidRPr="008F122D">
        <w:rPr>
          <w:rFonts w:eastAsiaTheme="minorHAnsi" w:cstheme="minorBidi"/>
          <w:bCs/>
          <w:sz w:val="18"/>
          <w:szCs w:val="18"/>
          <w:lang w:eastAsia="en-US"/>
        </w:rPr>
        <w:t xml:space="preserve"> </w:t>
      </w:r>
      <w:r>
        <w:rPr>
          <w:rFonts w:eastAsiaTheme="minorHAnsi" w:cstheme="minorBidi"/>
          <w:bCs/>
          <w:sz w:val="18"/>
          <w:szCs w:val="18"/>
          <w:lang w:eastAsia="en-US"/>
        </w:rPr>
        <w:t>Expected</w:t>
      </w:r>
      <w:r w:rsidRPr="008F122D">
        <w:rPr>
          <w:rFonts w:eastAsiaTheme="minorHAnsi" w:cstheme="minorBidi"/>
          <w:bCs/>
          <w:sz w:val="18"/>
          <w:szCs w:val="18"/>
          <w:lang w:eastAsia="en-US"/>
        </w:rPr>
        <w:t xml:space="preserve"> number of deaths (in hospital or within 30 days of discharge)</w:t>
      </w:r>
    </w:p>
    <w:p w14:paraId="70C817F7" w14:textId="6CEEC9EF" w:rsidR="008F122D" w:rsidRDefault="008F122D" w:rsidP="22E6DB4E">
      <w:pPr>
        <w:spacing w:before="0" w:line="276" w:lineRule="auto"/>
        <w:jc w:val="left"/>
        <w:rPr>
          <w:rFonts w:eastAsiaTheme="minorEastAsia" w:cstheme="minorBidi"/>
          <w:szCs w:val="22"/>
          <w:lang w:eastAsia="en-US"/>
        </w:rPr>
      </w:pPr>
    </w:p>
    <w:p w14:paraId="1FC5B80F" w14:textId="34A25696" w:rsidR="008F122D" w:rsidRDefault="00953744" w:rsidP="22E6DB4E">
      <w:pPr>
        <w:spacing w:before="0" w:line="276" w:lineRule="auto"/>
        <w:rPr>
          <w:rFonts w:eastAsiaTheme="minorEastAsia" w:cstheme="minorBidi"/>
          <w:szCs w:val="22"/>
          <w:lang w:eastAsia="en-US"/>
        </w:rPr>
      </w:pPr>
      <w:r>
        <w:rPr>
          <w:rFonts w:eastAsiaTheme="minorEastAsia" w:cstheme="minorBidi"/>
          <w:szCs w:val="22"/>
          <w:lang w:eastAsia="en-US"/>
        </w:rPr>
        <w:t>A significant</w:t>
      </w:r>
      <w:r w:rsidR="009C6EFF" w:rsidRPr="22E6DB4E">
        <w:rPr>
          <w:rFonts w:eastAsiaTheme="minorEastAsia" w:cstheme="minorBidi"/>
          <w:szCs w:val="22"/>
          <w:lang w:eastAsia="en-US"/>
        </w:rPr>
        <w:t xml:space="preserve"> fall in expected death numbers </w:t>
      </w:r>
      <w:r>
        <w:rPr>
          <w:rFonts w:eastAsiaTheme="minorEastAsia" w:cstheme="minorBidi"/>
          <w:szCs w:val="22"/>
          <w:lang w:eastAsia="en-US"/>
        </w:rPr>
        <w:t>raises concerns of a data quality issue</w:t>
      </w:r>
      <w:r w:rsidR="009C6EFF" w:rsidRPr="22E6DB4E">
        <w:rPr>
          <w:rFonts w:eastAsiaTheme="minorEastAsia" w:cstheme="minorBidi"/>
          <w:szCs w:val="22"/>
          <w:lang w:eastAsia="en-US"/>
        </w:rPr>
        <w:t xml:space="preserve">. </w:t>
      </w:r>
      <w:r>
        <w:rPr>
          <w:rFonts w:eastAsiaTheme="minorEastAsia" w:cstheme="minorBidi"/>
          <w:szCs w:val="22"/>
          <w:lang w:eastAsia="en-US"/>
        </w:rPr>
        <w:t>Following interrogation of the data, we</w:t>
      </w:r>
      <w:r w:rsidR="009C6EFF" w:rsidRPr="22E6DB4E">
        <w:rPr>
          <w:rFonts w:eastAsiaTheme="minorEastAsia" w:cstheme="minorBidi"/>
          <w:szCs w:val="22"/>
          <w:lang w:eastAsia="en-US"/>
        </w:rPr>
        <w:t xml:space="preserve"> have identified a </w:t>
      </w:r>
      <w:r>
        <w:rPr>
          <w:rFonts w:eastAsiaTheme="minorEastAsia" w:cstheme="minorBidi"/>
          <w:szCs w:val="22"/>
          <w:lang w:eastAsia="en-US"/>
        </w:rPr>
        <w:t xml:space="preserve">recent </w:t>
      </w:r>
      <w:r w:rsidR="009C6EFF" w:rsidRPr="22E6DB4E">
        <w:rPr>
          <w:rFonts w:eastAsiaTheme="minorEastAsia" w:cstheme="minorBidi"/>
          <w:szCs w:val="22"/>
          <w:lang w:eastAsia="en-US"/>
        </w:rPr>
        <w:t>increase in patients</w:t>
      </w:r>
      <w:r w:rsidR="00E367F1" w:rsidRPr="22E6DB4E">
        <w:rPr>
          <w:rFonts w:eastAsiaTheme="minorEastAsia" w:cstheme="minorBidi"/>
          <w:szCs w:val="22"/>
          <w:lang w:eastAsia="en-US"/>
        </w:rPr>
        <w:t>’</w:t>
      </w:r>
      <w:r w:rsidR="009C6EFF" w:rsidRPr="22E6DB4E">
        <w:rPr>
          <w:rFonts w:eastAsiaTheme="minorEastAsia" w:cstheme="minorBidi"/>
          <w:szCs w:val="22"/>
          <w:lang w:eastAsia="en-US"/>
        </w:rPr>
        <w:t xml:space="preserve"> diagnostic code in the category “Invalid primary diagnosis”. As can be shown in Figure 7, we normally have very few spells in this category, but it has sharply risen </w:t>
      </w:r>
      <w:r>
        <w:rPr>
          <w:rFonts w:eastAsiaTheme="minorEastAsia" w:cstheme="minorBidi"/>
          <w:szCs w:val="22"/>
          <w:lang w:eastAsia="en-US"/>
        </w:rPr>
        <w:t>in 24/25 year to date</w:t>
      </w:r>
      <w:r w:rsidR="009C6EFF" w:rsidRPr="22E6DB4E">
        <w:rPr>
          <w:rFonts w:eastAsiaTheme="minorEastAsia" w:cstheme="minorBidi"/>
          <w:szCs w:val="22"/>
          <w:lang w:eastAsia="en-US"/>
        </w:rPr>
        <w:t xml:space="preserve">. </w:t>
      </w:r>
      <w:r w:rsidR="00992B65">
        <w:rPr>
          <w:rFonts w:eastAsiaTheme="minorEastAsia" w:cstheme="minorBidi"/>
          <w:szCs w:val="22"/>
          <w:lang w:eastAsia="en-US"/>
        </w:rPr>
        <w:t>The reason behind the rise of this coding category is likely due to incomplete</w:t>
      </w:r>
      <w:r w:rsidR="009C6EFF" w:rsidRPr="22E6DB4E">
        <w:rPr>
          <w:rFonts w:eastAsiaTheme="minorEastAsia" w:cstheme="minorBidi"/>
          <w:szCs w:val="22"/>
          <w:lang w:eastAsia="en-US"/>
        </w:rPr>
        <w:t xml:space="preserve"> clinical coding</w:t>
      </w:r>
      <w:r w:rsidR="00E3793B">
        <w:rPr>
          <w:rFonts w:eastAsiaTheme="minorEastAsia" w:cstheme="minorBidi"/>
          <w:szCs w:val="22"/>
          <w:lang w:eastAsia="en-US"/>
        </w:rPr>
        <w:t xml:space="preserve"> </w:t>
      </w:r>
      <w:r w:rsidR="009C6EFF" w:rsidRPr="22E6DB4E">
        <w:rPr>
          <w:rFonts w:eastAsiaTheme="minorEastAsia" w:cstheme="minorBidi"/>
          <w:szCs w:val="22"/>
          <w:lang w:eastAsia="en-US"/>
        </w:rPr>
        <w:t xml:space="preserve">by the time of SHMI generation. </w:t>
      </w:r>
      <w:r w:rsidR="00992B65">
        <w:rPr>
          <w:rFonts w:eastAsiaTheme="minorEastAsia" w:cstheme="minorBidi"/>
          <w:szCs w:val="22"/>
          <w:lang w:eastAsia="en-US"/>
        </w:rPr>
        <w:t xml:space="preserve">Working with the data analytics team, </w:t>
      </w:r>
      <w:r w:rsidR="00E3793B">
        <w:rPr>
          <w:rFonts w:eastAsiaTheme="minorEastAsia" w:cstheme="minorBidi"/>
          <w:szCs w:val="22"/>
          <w:lang w:eastAsia="en-US"/>
        </w:rPr>
        <w:t>a</w:t>
      </w:r>
      <w:r w:rsidR="009C6EFF" w:rsidRPr="22E6DB4E">
        <w:rPr>
          <w:rFonts w:eastAsiaTheme="minorEastAsia" w:cstheme="minorBidi"/>
          <w:szCs w:val="22"/>
          <w:lang w:eastAsia="en-US"/>
        </w:rPr>
        <w:t xml:space="preserve">n action plan to improve turnaround for clinical coding has been </w:t>
      </w:r>
      <w:r w:rsidR="00992B65">
        <w:rPr>
          <w:rFonts w:eastAsiaTheme="minorEastAsia" w:cstheme="minorBidi"/>
          <w:szCs w:val="22"/>
          <w:lang w:eastAsia="en-US"/>
        </w:rPr>
        <w:t>agreed and is now underway</w:t>
      </w:r>
      <w:r w:rsidR="009C6EFF" w:rsidRPr="22E6DB4E">
        <w:rPr>
          <w:rFonts w:eastAsiaTheme="minorEastAsia" w:cstheme="minorBidi"/>
          <w:szCs w:val="22"/>
          <w:lang w:eastAsia="en-US"/>
        </w:rPr>
        <w:t xml:space="preserve">. </w:t>
      </w:r>
      <w:r w:rsidR="00F37FB3" w:rsidRPr="22E6DB4E">
        <w:rPr>
          <w:rFonts w:eastAsiaTheme="minorEastAsia" w:cstheme="minorBidi"/>
          <w:szCs w:val="22"/>
          <w:lang w:eastAsia="en-US"/>
        </w:rPr>
        <w:t xml:space="preserve">We </w:t>
      </w:r>
      <w:r w:rsidR="00992B65">
        <w:rPr>
          <w:rFonts w:eastAsiaTheme="minorEastAsia" w:cstheme="minorBidi"/>
          <w:szCs w:val="22"/>
          <w:lang w:eastAsia="en-US"/>
        </w:rPr>
        <w:t>understand from our external data processing provider</w:t>
      </w:r>
      <w:r w:rsidR="00F37FB3" w:rsidRPr="22E6DB4E">
        <w:rPr>
          <w:rFonts w:eastAsiaTheme="minorEastAsia" w:cstheme="minorBidi"/>
          <w:szCs w:val="22"/>
          <w:lang w:eastAsia="en-US"/>
        </w:rPr>
        <w:t xml:space="preserve"> (HED) </w:t>
      </w:r>
      <w:r w:rsidR="00992B65">
        <w:rPr>
          <w:rFonts w:eastAsiaTheme="minorEastAsia" w:cstheme="minorBidi"/>
          <w:szCs w:val="22"/>
          <w:lang w:eastAsia="en-US"/>
        </w:rPr>
        <w:t>that our</w:t>
      </w:r>
      <w:r w:rsidR="00F37FB3" w:rsidRPr="22E6DB4E">
        <w:rPr>
          <w:rFonts w:eastAsiaTheme="minorEastAsia" w:cstheme="minorBidi"/>
          <w:szCs w:val="22"/>
          <w:lang w:eastAsia="en-US"/>
        </w:rPr>
        <w:t xml:space="preserve"> SHMI data </w:t>
      </w:r>
      <w:r w:rsidR="00A713BA">
        <w:rPr>
          <w:rFonts w:eastAsiaTheme="minorEastAsia" w:cstheme="minorBidi"/>
          <w:szCs w:val="22"/>
          <w:lang w:eastAsia="en-US"/>
        </w:rPr>
        <w:t>will remain as it is for 24/25 and cannot be retrospectively adjusted.</w:t>
      </w:r>
    </w:p>
    <w:p w14:paraId="3F9CBFBF" w14:textId="37E76017" w:rsidR="00E367F1" w:rsidRDefault="00E367F1" w:rsidP="008F122D">
      <w:pPr>
        <w:spacing w:before="0" w:line="276" w:lineRule="auto"/>
        <w:jc w:val="left"/>
        <w:rPr>
          <w:rFonts w:eastAsiaTheme="minorHAnsi" w:cstheme="minorBidi"/>
          <w:bCs/>
          <w:sz w:val="18"/>
          <w:szCs w:val="18"/>
          <w:lang w:eastAsia="en-US"/>
        </w:rPr>
      </w:pPr>
      <w:r>
        <w:rPr>
          <w:noProof/>
        </w:rPr>
        <w:drawing>
          <wp:inline distT="0" distB="0" distL="0" distR="0" wp14:anchorId="425E15DE" wp14:editId="0DBCE6B8">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058C2D" w14:textId="5D28FD34" w:rsidR="00E367F1" w:rsidRDefault="00E367F1" w:rsidP="00B609B1">
      <w:pPr>
        <w:spacing w:before="0" w:line="276" w:lineRule="auto"/>
        <w:ind w:left="720"/>
        <w:jc w:val="left"/>
        <w:rPr>
          <w:rFonts w:eastAsiaTheme="minorHAnsi" w:cstheme="minorBidi"/>
          <w:bCs/>
          <w:sz w:val="18"/>
          <w:szCs w:val="18"/>
          <w:lang w:eastAsia="en-US"/>
        </w:rPr>
      </w:pPr>
      <w:r w:rsidRPr="00B609B1">
        <w:rPr>
          <w:rFonts w:eastAsiaTheme="minorHAnsi" w:cstheme="minorBidi"/>
          <w:b/>
          <w:bCs/>
          <w:sz w:val="18"/>
          <w:szCs w:val="18"/>
          <w:u w:val="single"/>
          <w:lang w:eastAsia="en-US"/>
        </w:rPr>
        <w:t>Figure 7:</w:t>
      </w:r>
      <w:r>
        <w:rPr>
          <w:rFonts w:eastAsiaTheme="minorHAnsi" w:cstheme="minorBidi"/>
          <w:bCs/>
          <w:sz w:val="18"/>
          <w:szCs w:val="18"/>
          <w:lang w:eastAsia="en-US"/>
        </w:rPr>
        <w:t xml:space="preserve"> Number of provider spells falling into the SHMI diagnostic category of “Invalid Primary Diagnosis”</w:t>
      </w:r>
    </w:p>
    <w:p w14:paraId="4D8723AD" w14:textId="3E6793D6" w:rsidR="00F37FB3" w:rsidRDefault="00742141" w:rsidP="22E6DB4E">
      <w:pPr>
        <w:spacing w:before="0" w:line="276" w:lineRule="auto"/>
        <w:rPr>
          <w:rFonts w:eastAsiaTheme="minorEastAsia" w:cstheme="minorBidi"/>
          <w:szCs w:val="22"/>
          <w:lang w:eastAsia="en-US"/>
        </w:rPr>
      </w:pPr>
      <w:r>
        <w:rPr>
          <w:rFonts w:eastAsiaTheme="minorEastAsia" w:cstheme="minorBidi"/>
          <w:szCs w:val="22"/>
          <w:lang w:eastAsia="en-US"/>
        </w:rPr>
        <w:lastRenderedPageBreak/>
        <w:t xml:space="preserve">Whilst the improvement work around </w:t>
      </w:r>
      <w:r w:rsidR="00E3793B">
        <w:rPr>
          <w:rFonts w:eastAsiaTheme="minorEastAsia" w:cstheme="minorBidi"/>
          <w:szCs w:val="22"/>
          <w:lang w:eastAsia="en-US"/>
        </w:rPr>
        <w:t>timeliness</w:t>
      </w:r>
      <w:r>
        <w:rPr>
          <w:rFonts w:eastAsiaTheme="minorEastAsia" w:cstheme="minorBidi"/>
          <w:szCs w:val="22"/>
          <w:lang w:eastAsia="en-US"/>
        </w:rPr>
        <w:t xml:space="preserve"> of </w:t>
      </w:r>
      <w:bookmarkStart w:id="0" w:name="_GoBack"/>
      <w:bookmarkEnd w:id="0"/>
      <w:r>
        <w:rPr>
          <w:rFonts w:eastAsiaTheme="minorEastAsia" w:cstheme="minorBidi"/>
          <w:szCs w:val="22"/>
          <w:lang w:eastAsia="en-US"/>
        </w:rPr>
        <w:t>our clinical coding is underway, i</w:t>
      </w:r>
      <w:r w:rsidR="00F37FB3" w:rsidRPr="22E6DB4E">
        <w:rPr>
          <w:rFonts w:eastAsiaTheme="minorEastAsia" w:cstheme="minorBidi"/>
          <w:szCs w:val="22"/>
          <w:lang w:eastAsia="en-US"/>
        </w:rPr>
        <w:t xml:space="preserve">n the interim period, </w:t>
      </w:r>
      <w:r w:rsidR="006D1FB0">
        <w:rPr>
          <w:rFonts w:eastAsiaTheme="minorEastAsia" w:cstheme="minorBidi"/>
          <w:szCs w:val="22"/>
          <w:lang w:eastAsia="en-US"/>
        </w:rPr>
        <w:t xml:space="preserve">our </w:t>
      </w:r>
      <w:r w:rsidR="00F37FB3" w:rsidRPr="22E6DB4E">
        <w:rPr>
          <w:rFonts w:eastAsiaTheme="minorEastAsia" w:cstheme="minorBidi"/>
          <w:szCs w:val="22"/>
          <w:lang w:eastAsia="en-US"/>
        </w:rPr>
        <w:t xml:space="preserve">other </w:t>
      </w:r>
      <w:r>
        <w:rPr>
          <w:rFonts w:eastAsiaTheme="minorEastAsia" w:cstheme="minorBidi"/>
          <w:szCs w:val="22"/>
          <w:lang w:eastAsia="en-US"/>
        </w:rPr>
        <w:t xml:space="preserve">mortality </w:t>
      </w:r>
      <w:r w:rsidR="00F37FB3" w:rsidRPr="22E6DB4E">
        <w:rPr>
          <w:rFonts w:eastAsiaTheme="minorEastAsia" w:cstheme="minorBidi"/>
          <w:szCs w:val="22"/>
          <w:lang w:eastAsia="en-US"/>
        </w:rPr>
        <w:t xml:space="preserve">metrics such as the </w:t>
      </w:r>
      <w:r w:rsidR="00D24D09">
        <w:rPr>
          <w:rFonts w:eastAsiaTheme="minorEastAsia" w:cstheme="minorBidi"/>
          <w:szCs w:val="22"/>
          <w:lang w:eastAsia="en-US"/>
        </w:rPr>
        <w:t>observed</w:t>
      </w:r>
      <w:r w:rsidR="00F37FB3" w:rsidRPr="22E6DB4E">
        <w:rPr>
          <w:rFonts w:eastAsiaTheme="minorEastAsia" w:cstheme="minorBidi"/>
          <w:szCs w:val="22"/>
          <w:lang w:eastAsia="en-US"/>
        </w:rPr>
        <w:t xml:space="preserve"> number of deaths, any Medical Examiner concerns and the </w:t>
      </w:r>
      <w:r w:rsidR="006E5FFF" w:rsidRPr="22E6DB4E">
        <w:rPr>
          <w:rFonts w:eastAsiaTheme="minorEastAsia" w:cstheme="minorBidi"/>
          <w:szCs w:val="22"/>
          <w:lang w:eastAsia="en-US"/>
        </w:rPr>
        <w:t>Structured</w:t>
      </w:r>
      <w:r w:rsidR="00F37FB3" w:rsidRPr="22E6DB4E">
        <w:rPr>
          <w:rFonts w:eastAsiaTheme="minorEastAsia" w:cstheme="minorBidi"/>
          <w:szCs w:val="22"/>
          <w:lang w:eastAsia="en-US"/>
        </w:rPr>
        <w:t xml:space="preserve"> Judgemental Reviews (SJRs) </w:t>
      </w:r>
      <w:r w:rsidR="0055710B">
        <w:rPr>
          <w:rFonts w:eastAsiaTheme="minorEastAsia" w:cstheme="minorBidi"/>
          <w:szCs w:val="22"/>
          <w:lang w:eastAsia="en-US"/>
        </w:rPr>
        <w:t>will continue to provide further assurance</w:t>
      </w:r>
      <w:r>
        <w:rPr>
          <w:rFonts w:eastAsiaTheme="minorEastAsia" w:cstheme="minorBidi"/>
          <w:szCs w:val="22"/>
          <w:lang w:eastAsia="en-US"/>
        </w:rPr>
        <w:t xml:space="preserve"> of our mortality data</w:t>
      </w:r>
      <w:r w:rsidR="0055710B">
        <w:rPr>
          <w:rFonts w:eastAsiaTheme="minorEastAsia" w:cstheme="minorBidi"/>
          <w:szCs w:val="22"/>
          <w:lang w:eastAsia="en-US"/>
        </w:rPr>
        <w:t>.</w:t>
      </w:r>
    </w:p>
    <w:p w14:paraId="554DA651" w14:textId="77777777" w:rsidR="008F122D" w:rsidRPr="008F122D" w:rsidRDefault="008F122D" w:rsidP="008F122D">
      <w:pPr>
        <w:spacing w:before="0" w:line="276" w:lineRule="auto"/>
        <w:jc w:val="left"/>
        <w:rPr>
          <w:rFonts w:eastAsiaTheme="minorHAnsi" w:cstheme="minorBidi"/>
          <w:bCs/>
          <w:sz w:val="18"/>
          <w:szCs w:val="18"/>
          <w:lang w:eastAsia="en-US"/>
        </w:rPr>
      </w:pPr>
    </w:p>
    <w:p w14:paraId="4386D7D9" w14:textId="3089EE59" w:rsidR="00F11938" w:rsidRPr="001C3114" w:rsidRDefault="00C07DDA" w:rsidP="00C96E82">
      <w:pPr>
        <w:pStyle w:val="ListParagraph"/>
        <w:numPr>
          <w:ilvl w:val="1"/>
          <w:numId w:val="6"/>
        </w:numPr>
        <w:spacing w:before="0" w:after="0"/>
        <w:ind w:left="0" w:firstLine="0"/>
        <w:rPr>
          <w:rFonts w:eastAsiaTheme="minorHAnsi" w:cstheme="minorBidi"/>
          <w:szCs w:val="22"/>
          <w:lang w:eastAsia="en-US"/>
        </w:rPr>
      </w:pPr>
      <w:r w:rsidRPr="00F11938">
        <w:rPr>
          <w:rFonts w:eastAsiaTheme="minorHAnsi" w:cstheme="minorBidi"/>
          <w:b/>
          <w:bCs/>
          <w:szCs w:val="22"/>
          <w:lang w:eastAsia="en-US"/>
        </w:rPr>
        <w:t xml:space="preserve">Structured </w:t>
      </w:r>
      <w:r w:rsidR="00E62E57">
        <w:rPr>
          <w:rFonts w:eastAsiaTheme="minorHAnsi" w:cstheme="minorBidi"/>
          <w:b/>
          <w:bCs/>
          <w:szCs w:val="22"/>
          <w:lang w:eastAsia="en-US"/>
        </w:rPr>
        <w:t>judgement</w:t>
      </w:r>
      <w:r w:rsidRPr="00F11938">
        <w:rPr>
          <w:rFonts w:eastAsiaTheme="minorHAnsi" w:cstheme="minorBidi"/>
          <w:b/>
          <w:bCs/>
          <w:szCs w:val="22"/>
          <w:lang w:eastAsia="en-US"/>
        </w:rPr>
        <w:t xml:space="preserve"> reviews </w:t>
      </w:r>
      <w:r w:rsidR="005A7699">
        <w:rPr>
          <w:rFonts w:eastAsiaTheme="minorHAnsi" w:cstheme="minorBidi"/>
          <w:b/>
          <w:bCs/>
          <w:szCs w:val="22"/>
          <w:lang w:eastAsia="en-US"/>
        </w:rPr>
        <w:t>(SJR)</w:t>
      </w:r>
    </w:p>
    <w:p w14:paraId="518621B9" w14:textId="77777777" w:rsidR="001C3114" w:rsidRPr="00F11938" w:rsidRDefault="001C3114" w:rsidP="001C3114">
      <w:pPr>
        <w:pStyle w:val="ListParagraph"/>
        <w:spacing w:before="0" w:after="0"/>
        <w:ind w:left="1080"/>
        <w:rPr>
          <w:rFonts w:eastAsiaTheme="minorHAnsi" w:cstheme="minorBidi"/>
          <w:szCs w:val="22"/>
          <w:lang w:eastAsia="en-US"/>
        </w:rPr>
      </w:pPr>
    </w:p>
    <w:p w14:paraId="17B0CCC1" w14:textId="72DB8D00" w:rsidR="007E54EB" w:rsidRDefault="006B6D10" w:rsidP="00C96E82">
      <w:pPr>
        <w:spacing w:before="0" w:after="0"/>
        <w:rPr>
          <w:rFonts w:eastAsiaTheme="minorHAnsi" w:cstheme="minorBidi"/>
          <w:color w:val="000000" w:themeColor="text1"/>
          <w:szCs w:val="22"/>
          <w:lang w:eastAsia="en-US"/>
        </w:rPr>
      </w:pPr>
      <w:r>
        <w:rPr>
          <w:rFonts w:eastAsiaTheme="minorHAnsi" w:cstheme="minorBidi"/>
          <w:color w:val="000000" w:themeColor="text1"/>
          <w:szCs w:val="22"/>
          <w:lang w:eastAsia="en-US"/>
        </w:rPr>
        <w:t>21</w:t>
      </w:r>
      <w:r w:rsidR="003536CC" w:rsidRPr="00BF6BC0">
        <w:rPr>
          <w:rFonts w:eastAsiaTheme="minorHAnsi" w:cstheme="minorBidi"/>
          <w:color w:val="000000" w:themeColor="text1"/>
          <w:szCs w:val="22"/>
          <w:lang w:eastAsia="en-US"/>
        </w:rPr>
        <w:t xml:space="preserve"> </w:t>
      </w:r>
      <w:r w:rsidR="00D966E3" w:rsidRPr="00BF6BC0">
        <w:rPr>
          <w:rFonts w:eastAsiaTheme="minorHAnsi" w:cstheme="minorBidi"/>
          <w:color w:val="000000" w:themeColor="text1"/>
          <w:szCs w:val="22"/>
          <w:lang w:eastAsia="en-US"/>
        </w:rPr>
        <w:t>cases hav</w:t>
      </w:r>
      <w:r w:rsidR="00B8023F">
        <w:rPr>
          <w:rFonts w:eastAsiaTheme="minorHAnsi" w:cstheme="minorBidi"/>
          <w:color w:val="000000" w:themeColor="text1"/>
          <w:szCs w:val="22"/>
          <w:lang w:eastAsia="en-US"/>
        </w:rPr>
        <w:t>e been reviewed in this quarter</w:t>
      </w:r>
      <w:r w:rsidR="00D966E3" w:rsidRPr="00BF6BC0">
        <w:rPr>
          <w:rFonts w:eastAsiaTheme="minorHAnsi" w:cstheme="minorBidi"/>
          <w:color w:val="000000" w:themeColor="text1"/>
          <w:szCs w:val="22"/>
          <w:lang w:eastAsia="en-US"/>
        </w:rPr>
        <w:t xml:space="preserve"> </w:t>
      </w:r>
      <w:r w:rsidR="003536CC" w:rsidRPr="00BF6BC0">
        <w:rPr>
          <w:rFonts w:eastAsiaTheme="minorHAnsi" w:cstheme="minorBidi"/>
          <w:color w:val="000000" w:themeColor="text1"/>
          <w:szCs w:val="22"/>
          <w:lang w:eastAsia="en-US"/>
        </w:rPr>
        <w:t xml:space="preserve">with </w:t>
      </w:r>
      <w:r w:rsidR="00E30DA5">
        <w:rPr>
          <w:rFonts w:eastAsiaTheme="minorHAnsi" w:cstheme="minorBidi"/>
          <w:color w:val="000000" w:themeColor="text1"/>
          <w:szCs w:val="22"/>
          <w:lang w:eastAsia="en-US"/>
        </w:rPr>
        <w:t>1</w:t>
      </w:r>
      <w:r w:rsidR="00C219DE">
        <w:rPr>
          <w:rFonts w:eastAsiaTheme="minorHAnsi" w:cstheme="minorBidi"/>
          <w:color w:val="000000" w:themeColor="text1"/>
          <w:szCs w:val="22"/>
          <w:lang w:eastAsia="en-US"/>
        </w:rPr>
        <w:t>8</w:t>
      </w:r>
      <w:r w:rsidR="003536CC" w:rsidRPr="00BF6BC0">
        <w:rPr>
          <w:rFonts w:eastAsiaTheme="minorHAnsi" w:cstheme="minorBidi"/>
          <w:color w:val="000000" w:themeColor="text1"/>
          <w:szCs w:val="22"/>
          <w:lang w:eastAsia="en-US"/>
        </w:rPr>
        <w:t xml:space="preserve"> </w:t>
      </w:r>
      <w:r w:rsidR="00561101" w:rsidRPr="00BF6BC0">
        <w:rPr>
          <w:rFonts w:eastAsiaTheme="minorHAnsi" w:cstheme="minorBidi"/>
          <w:color w:val="000000" w:themeColor="text1"/>
          <w:szCs w:val="22"/>
          <w:lang w:eastAsia="en-US"/>
        </w:rPr>
        <w:t>rel</w:t>
      </w:r>
      <w:r w:rsidR="00BF6BC0" w:rsidRPr="00BF6BC0">
        <w:rPr>
          <w:rFonts w:eastAsiaTheme="minorHAnsi" w:cstheme="minorBidi"/>
          <w:color w:val="000000" w:themeColor="text1"/>
          <w:szCs w:val="22"/>
          <w:lang w:eastAsia="en-US"/>
        </w:rPr>
        <w:t xml:space="preserve">ating to deaths in this </w:t>
      </w:r>
      <w:r w:rsidR="001F502A">
        <w:rPr>
          <w:rFonts w:eastAsiaTheme="minorHAnsi" w:cstheme="minorBidi"/>
          <w:color w:val="000000" w:themeColor="text1"/>
          <w:szCs w:val="22"/>
          <w:lang w:eastAsia="en-US"/>
        </w:rPr>
        <w:t>period</w:t>
      </w:r>
      <w:r w:rsidR="00C219DE">
        <w:rPr>
          <w:rFonts w:eastAsiaTheme="minorHAnsi" w:cstheme="minorBidi"/>
          <w:color w:val="000000" w:themeColor="text1"/>
          <w:szCs w:val="22"/>
          <w:lang w:eastAsia="en-US"/>
        </w:rPr>
        <w:t xml:space="preserve"> and 3</w:t>
      </w:r>
      <w:r w:rsidR="00C04350">
        <w:rPr>
          <w:rFonts w:eastAsiaTheme="minorHAnsi" w:cstheme="minorBidi"/>
          <w:color w:val="000000" w:themeColor="text1"/>
          <w:szCs w:val="22"/>
          <w:lang w:eastAsia="en-US"/>
        </w:rPr>
        <w:t xml:space="preserve"> from </w:t>
      </w:r>
      <w:r w:rsidR="005F7B87">
        <w:rPr>
          <w:rFonts w:eastAsiaTheme="minorHAnsi" w:cstheme="minorBidi"/>
          <w:color w:val="000000" w:themeColor="text1"/>
          <w:szCs w:val="22"/>
          <w:lang w:eastAsia="en-US"/>
        </w:rPr>
        <w:t>the preceding Q</w:t>
      </w:r>
      <w:r w:rsidR="00C219DE">
        <w:rPr>
          <w:rFonts w:eastAsiaTheme="minorHAnsi" w:cstheme="minorBidi"/>
          <w:color w:val="000000" w:themeColor="text1"/>
          <w:szCs w:val="22"/>
          <w:lang w:eastAsia="en-US"/>
        </w:rPr>
        <w:t>2</w:t>
      </w:r>
      <w:r w:rsidR="002E439C">
        <w:rPr>
          <w:rFonts w:eastAsiaTheme="minorHAnsi" w:cstheme="minorBidi"/>
          <w:color w:val="000000" w:themeColor="text1"/>
          <w:szCs w:val="22"/>
          <w:lang w:eastAsia="en-US"/>
        </w:rPr>
        <w:t>.</w:t>
      </w:r>
    </w:p>
    <w:p w14:paraId="67C8B529" w14:textId="77777777" w:rsidR="00FC72BF" w:rsidRDefault="00FC72BF" w:rsidP="00C96E82">
      <w:pPr>
        <w:spacing w:before="0" w:after="0"/>
        <w:rPr>
          <w:rFonts w:eastAsiaTheme="minorHAnsi" w:cstheme="minorBidi"/>
          <w:color w:val="000000" w:themeColor="text1"/>
          <w:szCs w:val="22"/>
          <w:lang w:eastAsia="en-US"/>
        </w:rPr>
      </w:pPr>
    </w:p>
    <w:p w14:paraId="4621E171" w14:textId="65A4445C" w:rsidR="00781555" w:rsidRDefault="00E30DA5" w:rsidP="00C96E82">
      <w:pPr>
        <w:spacing w:before="0" w:after="0"/>
        <w:rPr>
          <w:rFonts w:eastAsiaTheme="minorHAnsi" w:cstheme="minorBidi"/>
          <w:color w:val="000000" w:themeColor="text1"/>
          <w:szCs w:val="22"/>
          <w:lang w:eastAsia="en-US"/>
        </w:rPr>
      </w:pPr>
      <w:r>
        <w:rPr>
          <w:rFonts w:eastAsiaTheme="minorHAnsi" w:cstheme="minorBidi"/>
          <w:color w:val="000000" w:themeColor="text1"/>
          <w:szCs w:val="22"/>
          <w:lang w:eastAsia="en-US"/>
        </w:rPr>
        <w:t>We received 1 “</w:t>
      </w:r>
      <w:r w:rsidR="009070FF">
        <w:rPr>
          <w:rFonts w:eastAsiaTheme="minorHAnsi" w:cstheme="minorBidi"/>
          <w:color w:val="000000" w:themeColor="text1"/>
          <w:szCs w:val="22"/>
          <w:lang w:eastAsia="en-US"/>
        </w:rPr>
        <w:t>red</w:t>
      </w:r>
      <w:r>
        <w:rPr>
          <w:rFonts w:eastAsiaTheme="minorHAnsi" w:cstheme="minorBidi"/>
          <w:color w:val="000000" w:themeColor="text1"/>
          <w:szCs w:val="22"/>
          <w:lang w:eastAsia="en-US"/>
        </w:rPr>
        <w:t xml:space="preserve"> alert</w:t>
      </w:r>
      <w:r w:rsidR="00BE2C98">
        <w:rPr>
          <w:rFonts w:eastAsiaTheme="minorHAnsi" w:cstheme="minorBidi"/>
          <w:color w:val="000000" w:themeColor="text1"/>
          <w:szCs w:val="22"/>
          <w:lang w:eastAsia="en-US"/>
        </w:rPr>
        <w:t>”</w:t>
      </w:r>
      <w:r>
        <w:rPr>
          <w:rFonts w:eastAsiaTheme="minorHAnsi" w:cstheme="minorBidi"/>
          <w:color w:val="000000" w:themeColor="text1"/>
          <w:szCs w:val="22"/>
          <w:lang w:eastAsia="en-US"/>
        </w:rPr>
        <w:t xml:space="preserve"> for a diagnostic category</w:t>
      </w:r>
      <w:r w:rsidR="00BE2C98">
        <w:rPr>
          <w:rFonts w:eastAsiaTheme="minorHAnsi" w:cstheme="minorBidi"/>
          <w:color w:val="000000" w:themeColor="text1"/>
          <w:szCs w:val="22"/>
          <w:lang w:eastAsia="en-US"/>
        </w:rPr>
        <w:t xml:space="preserve"> with possible excess mortality in this quarter – deaths categorised as being due to “</w:t>
      </w:r>
      <w:r w:rsidR="00673FBB">
        <w:rPr>
          <w:rFonts w:eastAsiaTheme="minorHAnsi" w:cstheme="minorBidi"/>
          <w:color w:val="000000" w:themeColor="text1"/>
          <w:szCs w:val="22"/>
          <w:lang w:eastAsia="en-US"/>
        </w:rPr>
        <w:t xml:space="preserve">acute </w:t>
      </w:r>
      <w:r w:rsidR="002E439C">
        <w:rPr>
          <w:rFonts w:eastAsiaTheme="minorHAnsi" w:cstheme="minorBidi"/>
          <w:color w:val="000000" w:themeColor="text1"/>
          <w:szCs w:val="22"/>
          <w:lang w:eastAsia="en-US"/>
        </w:rPr>
        <w:t>cerebrovascular disease</w:t>
      </w:r>
      <w:r w:rsidR="00BE2C98">
        <w:rPr>
          <w:rFonts w:eastAsiaTheme="minorHAnsi" w:cstheme="minorBidi"/>
          <w:color w:val="000000" w:themeColor="text1"/>
          <w:szCs w:val="22"/>
          <w:lang w:eastAsia="en-US"/>
        </w:rPr>
        <w:t>”.</w:t>
      </w:r>
      <w:r w:rsidR="009070FF">
        <w:rPr>
          <w:rFonts w:eastAsiaTheme="minorHAnsi" w:cstheme="minorBidi"/>
          <w:color w:val="000000" w:themeColor="text1"/>
          <w:szCs w:val="22"/>
          <w:lang w:eastAsia="en-US"/>
        </w:rPr>
        <w:t xml:space="preserve"> This </w:t>
      </w:r>
      <w:r w:rsidR="00C47621">
        <w:rPr>
          <w:rFonts w:eastAsiaTheme="minorHAnsi" w:cstheme="minorBidi"/>
          <w:color w:val="000000" w:themeColor="text1"/>
          <w:szCs w:val="22"/>
          <w:lang w:eastAsia="en-US"/>
        </w:rPr>
        <w:t xml:space="preserve">related to the cumulative number of deaths up to and including August 2024. By </w:t>
      </w:r>
      <w:r w:rsidR="006462E3">
        <w:rPr>
          <w:rFonts w:eastAsiaTheme="minorHAnsi" w:cstheme="minorBidi"/>
          <w:color w:val="000000" w:themeColor="text1"/>
          <w:szCs w:val="22"/>
          <w:lang w:eastAsia="en-US"/>
        </w:rPr>
        <w:t>September</w:t>
      </w:r>
      <w:r w:rsidR="00C47621">
        <w:rPr>
          <w:rFonts w:eastAsiaTheme="minorHAnsi" w:cstheme="minorBidi"/>
          <w:color w:val="000000" w:themeColor="text1"/>
          <w:szCs w:val="22"/>
          <w:lang w:eastAsia="en-US"/>
        </w:rPr>
        <w:t xml:space="preserve">, this had fallen to an “amber alert”. </w:t>
      </w:r>
      <w:r w:rsidR="006462E3">
        <w:rPr>
          <w:rFonts w:eastAsiaTheme="minorHAnsi" w:cstheme="minorBidi"/>
          <w:color w:val="000000" w:themeColor="text1"/>
          <w:szCs w:val="22"/>
          <w:lang w:eastAsia="en-US"/>
        </w:rPr>
        <w:t>In the next quarter, the cases</w:t>
      </w:r>
      <w:r w:rsidR="006D1FB0">
        <w:rPr>
          <w:rFonts w:eastAsiaTheme="minorHAnsi" w:cstheme="minorBidi"/>
          <w:color w:val="000000" w:themeColor="text1"/>
          <w:szCs w:val="22"/>
          <w:lang w:eastAsia="en-US"/>
        </w:rPr>
        <w:t xml:space="preserve"> from this category</w:t>
      </w:r>
      <w:r w:rsidR="006462E3">
        <w:rPr>
          <w:rFonts w:eastAsiaTheme="minorHAnsi" w:cstheme="minorBidi"/>
          <w:color w:val="000000" w:themeColor="text1"/>
          <w:szCs w:val="22"/>
          <w:lang w:eastAsia="en-US"/>
        </w:rPr>
        <w:t xml:space="preserve"> with the lowest predicted mortality during the red alert period will be chosen for an SJR. </w:t>
      </w:r>
      <w:r w:rsidR="00BE2C98">
        <w:rPr>
          <w:rFonts w:eastAsiaTheme="minorHAnsi" w:cstheme="minorBidi"/>
          <w:color w:val="000000" w:themeColor="text1"/>
          <w:szCs w:val="22"/>
          <w:lang w:eastAsia="en-US"/>
        </w:rPr>
        <w:t xml:space="preserve"> This is a diagnostic area which has previously between explored with no concerns identified. We are currently finalising “business rules” as to when such intermittent alerts would trigger a more in-depth exploration of clinical cases.  </w:t>
      </w:r>
    </w:p>
    <w:p w14:paraId="3F87B497" w14:textId="5427DDB8" w:rsidR="00BE2C98" w:rsidRDefault="00BE2C98" w:rsidP="00C96E82">
      <w:pPr>
        <w:spacing w:before="0" w:after="0"/>
        <w:rPr>
          <w:rFonts w:eastAsiaTheme="minorHAnsi" w:cstheme="minorBidi"/>
          <w:color w:val="000000" w:themeColor="text1"/>
          <w:szCs w:val="22"/>
          <w:lang w:eastAsia="en-US"/>
        </w:rPr>
      </w:pPr>
    </w:p>
    <w:p w14:paraId="1871C605" w14:textId="619862B5" w:rsidR="00BE2C98" w:rsidRDefault="00FC304F" w:rsidP="00C96E82">
      <w:pPr>
        <w:spacing w:before="0" w:after="0"/>
        <w:rPr>
          <w:rFonts w:eastAsiaTheme="minorHAnsi" w:cstheme="minorBidi"/>
          <w:color w:val="000000" w:themeColor="text1"/>
          <w:szCs w:val="22"/>
          <w:lang w:eastAsia="en-US"/>
        </w:rPr>
      </w:pPr>
      <w:r>
        <w:rPr>
          <w:rFonts w:eastAsiaTheme="minorHAnsi" w:cstheme="minorBidi"/>
          <w:color w:val="000000" w:themeColor="text1"/>
          <w:szCs w:val="22"/>
          <w:lang w:eastAsia="en-US"/>
        </w:rPr>
        <w:t xml:space="preserve">In addition to </w:t>
      </w:r>
      <w:r w:rsidR="00727811">
        <w:rPr>
          <w:rFonts w:eastAsiaTheme="minorHAnsi" w:cstheme="minorBidi"/>
          <w:color w:val="000000" w:themeColor="text1"/>
          <w:szCs w:val="22"/>
          <w:lang w:eastAsia="en-US"/>
        </w:rPr>
        <w:t xml:space="preserve">cases chosen at random to provide </w:t>
      </w:r>
      <w:r w:rsidR="007F348B">
        <w:rPr>
          <w:rFonts w:eastAsiaTheme="minorHAnsi" w:cstheme="minorBidi"/>
          <w:color w:val="000000" w:themeColor="text1"/>
          <w:szCs w:val="22"/>
          <w:lang w:eastAsia="en-US"/>
        </w:rPr>
        <w:t>assurance, some</w:t>
      </w:r>
      <w:r w:rsidR="0055710B">
        <w:rPr>
          <w:rFonts w:eastAsiaTheme="minorHAnsi" w:cstheme="minorBidi"/>
          <w:color w:val="000000" w:themeColor="text1"/>
          <w:szCs w:val="22"/>
          <w:lang w:eastAsia="en-US"/>
        </w:rPr>
        <w:t xml:space="preserve"> </w:t>
      </w:r>
      <w:r w:rsidR="007F348B">
        <w:rPr>
          <w:rFonts w:eastAsiaTheme="minorHAnsi" w:cstheme="minorBidi"/>
          <w:color w:val="000000" w:themeColor="text1"/>
          <w:szCs w:val="22"/>
          <w:lang w:eastAsia="en-US"/>
        </w:rPr>
        <w:t xml:space="preserve">clinical teams </w:t>
      </w:r>
      <w:r w:rsidR="00BE2C98">
        <w:rPr>
          <w:rFonts w:eastAsiaTheme="minorHAnsi" w:cstheme="minorBidi"/>
          <w:color w:val="000000" w:themeColor="text1"/>
          <w:szCs w:val="22"/>
          <w:lang w:eastAsia="en-US"/>
        </w:rPr>
        <w:t>select cases that they have already identified as having pos</w:t>
      </w:r>
      <w:r w:rsidR="001F502A">
        <w:rPr>
          <w:rFonts w:eastAsiaTheme="minorHAnsi" w:cstheme="minorBidi"/>
          <w:color w:val="000000" w:themeColor="text1"/>
          <w:szCs w:val="22"/>
          <w:lang w:eastAsia="en-US"/>
        </w:rPr>
        <w:t>sible lapses in</w:t>
      </w:r>
      <w:r w:rsidR="008B504E">
        <w:rPr>
          <w:rFonts w:eastAsiaTheme="minorHAnsi" w:cstheme="minorBidi"/>
          <w:color w:val="000000" w:themeColor="text1"/>
          <w:szCs w:val="22"/>
          <w:lang w:eastAsia="en-US"/>
        </w:rPr>
        <w:t xml:space="preserve"> care </w:t>
      </w:r>
      <w:r w:rsidR="00BE2C98">
        <w:rPr>
          <w:rFonts w:eastAsiaTheme="minorHAnsi" w:cstheme="minorBidi"/>
          <w:color w:val="000000" w:themeColor="text1"/>
          <w:szCs w:val="22"/>
          <w:lang w:eastAsia="en-US"/>
        </w:rPr>
        <w:t xml:space="preserve">and </w:t>
      </w:r>
      <w:r w:rsidR="007F348B">
        <w:rPr>
          <w:rFonts w:eastAsiaTheme="minorHAnsi" w:cstheme="minorBidi"/>
          <w:color w:val="000000" w:themeColor="text1"/>
          <w:szCs w:val="22"/>
          <w:lang w:eastAsia="en-US"/>
        </w:rPr>
        <w:t xml:space="preserve">this </w:t>
      </w:r>
      <w:r w:rsidR="00BE2C98">
        <w:rPr>
          <w:rFonts w:eastAsiaTheme="minorHAnsi" w:cstheme="minorBidi"/>
          <w:color w:val="000000" w:themeColor="text1"/>
          <w:szCs w:val="22"/>
          <w:lang w:eastAsia="en-US"/>
        </w:rPr>
        <w:t xml:space="preserve">therefore </w:t>
      </w:r>
      <w:r w:rsidR="00727811">
        <w:rPr>
          <w:rFonts w:eastAsiaTheme="minorHAnsi" w:cstheme="minorBidi"/>
          <w:color w:val="000000" w:themeColor="text1"/>
          <w:szCs w:val="22"/>
          <w:lang w:eastAsia="en-US"/>
        </w:rPr>
        <w:t>generates</w:t>
      </w:r>
      <w:r w:rsidR="00BE2C98">
        <w:rPr>
          <w:rFonts w:eastAsiaTheme="minorHAnsi" w:cstheme="minorBidi"/>
          <w:color w:val="000000" w:themeColor="text1"/>
          <w:szCs w:val="22"/>
          <w:lang w:eastAsia="en-US"/>
        </w:rPr>
        <w:t xml:space="preserve"> a higher number of episodes of poor </w:t>
      </w:r>
      <w:r w:rsidR="008B504E">
        <w:rPr>
          <w:rFonts w:eastAsiaTheme="minorHAnsi" w:cstheme="minorBidi"/>
          <w:color w:val="000000" w:themeColor="text1"/>
          <w:szCs w:val="22"/>
          <w:lang w:eastAsia="en-US"/>
        </w:rPr>
        <w:t>care than previously (</w:t>
      </w:r>
      <w:r w:rsidR="00BE2C98">
        <w:rPr>
          <w:rFonts w:eastAsiaTheme="minorHAnsi" w:cstheme="minorBidi"/>
          <w:color w:val="000000" w:themeColor="text1"/>
          <w:szCs w:val="22"/>
          <w:lang w:eastAsia="en-US"/>
        </w:rPr>
        <w:t>where a higher proportion of cases f</w:t>
      </w:r>
      <w:r w:rsidR="008B504E">
        <w:rPr>
          <w:rFonts w:eastAsiaTheme="minorHAnsi" w:cstheme="minorBidi"/>
          <w:color w:val="000000" w:themeColor="text1"/>
          <w:szCs w:val="22"/>
          <w:lang w:eastAsia="en-US"/>
        </w:rPr>
        <w:t>or review were selected at random).</w:t>
      </w:r>
      <w:r w:rsidR="00727811">
        <w:rPr>
          <w:rFonts w:eastAsiaTheme="minorHAnsi" w:cstheme="minorBidi"/>
          <w:color w:val="000000" w:themeColor="text1"/>
          <w:szCs w:val="22"/>
          <w:lang w:eastAsia="en-US"/>
        </w:rPr>
        <w:t xml:space="preserve"> We are looking to add an extra field to our SJ</w:t>
      </w:r>
      <w:r w:rsidR="007F348B">
        <w:rPr>
          <w:rFonts w:eastAsiaTheme="minorHAnsi" w:cstheme="minorBidi"/>
          <w:color w:val="000000" w:themeColor="text1"/>
          <w:szCs w:val="22"/>
          <w:lang w:eastAsia="en-US"/>
        </w:rPr>
        <w:t>R</w:t>
      </w:r>
      <w:r w:rsidR="00727811">
        <w:rPr>
          <w:rFonts w:eastAsiaTheme="minorHAnsi" w:cstheme="minorBidi"/>
          <w:color w:val="000000" w:themeColor="text1"/>
          <w:szCs w:val="22"/>
          <w:lang w:eastAsia="en-US"/>
        </w:rPr>
        <w:t xml:space="preserve"> tool so we can identify </w:t>
      </w:r>
      <w:r w:rsidR="00EB2404">
        <w:rPr>
          <w:rFonts w:eastAsiaTheme="minorHAnsi" w:cstheme="minorBidi"/>
          <w:color w:val="000000" w:themeColor="text1"/>
          <w:szCs w:val="22"/>
          <w:lang w:eastAsia="en-US"/>
        </w:rPr>
        <w:t xml:space="preserve">why the case was chosen for review and get a clearer picture of </w:t>
      </w:r>
      <w:r w:rsidR="00F539C3">
        <w:rPr>
          <w:rFonts w:eastAsiaTheme="minorHAnsi" w:cstheme="minorBidi"/>
          <w:color w:val="000000" w:themeColor="text1"/>
          <w:szCs w:val="22"/>
          <w:lang w:eastAsia="en-US"/>
        </w:rPr>
        <w:t xml:space="preserve">the incidence of each </w:t>
      </w:r>
      <w:r w:rsidR="00BC3D42">
        <w:rPr>
          <w:rFonts w:eastAsiaTheme="minorHAnsi" w:cstheme="minorBidi"/>
          <w:color w:val="000000" w:themeColor="text1"/>
          <w:szCs w:val="22"/>
          <w:lang w:eastAsia="en-US"/>
        </w:rPr>
        <w:t>quality-of-care</w:t>
      </w:r>
      <w:r w:rsidR="00F539C3">
        <w:rPr>
          <w:rFonts w:eastAsiaTheme="minorHAnsi" w:cstheme="minorBidi"/>
          <w:color w:val="000000" w:themeColor="text1"/>
          <w:szCs w:val="22"/>
          <w:lang w:eastAsia="en-US"/>
        </w:rPr>
        <w:t xml:space="preserve"> category.</w:t>
      </w:r>
    </w:p>
    <w:p w14:paraId="37164F87" w14:textId="6DF5BC0A" w:rsidR="002771BA" w:rsidRDefault="002771BA" w:rsidP="00C96E82">
      <w:pPr>
        <w:spacing w:before="0" w:after="0"/>
        <w:rPr>
          <w:rFonts w:eastAsiaTheme="minorHAnsi" w:cstheme="minorBidi"/>
          <w:color w:val="000000" w:themeColor="text1"/>
          <w:szCs w:val="22"/>
          <w:lang w:eastAsia="en-US"/>
        </w:rPr>
      </w:pPr>
    </w:p>
    <w:p w14:paraId="073BCF36" w14:textId="73962D4A" w:rsidR="002771BA" w:rsidRDefault="002771BA" w:rsidP="00C96E82">
      <w:pPr>
        <w:spacing w:before="0" w:after="0"/>
        <w:rPr>
          <w:rFonts w:eastAsiaTheme="minorHAnsi" w:cstheme="minorBidi"/>
          <w:color w:val="000000" w:themeColor="text1"/>
          <w:szCs w:val="22"/>
          <w:lang w:eastAsia="en-US"/>
        </w:rPr>
      </w:pPr>
      <w:r>
        <w:rPr>
          <w:rFonts w:eastAsiaTheme="minorHAnsi" w:cstheme="minorBidi"/>
          <w:color w:val="000000" w:themeColor="text1"/>
          <w:szCs w:val="22"/>
          <w:lang w:eastAsia="en-US"/>
        </w:rPr>
        <w:t xml:space="preserve">2 cases were in patients with a learning disability who will receive a second external review as part of the LeDeR process. Feedback on their findings will be provided in subsequent papers when the reports are received. </w:t>
      </w:r>
    </w:p>
    <w:p w14:paraId="543C03EE" w14:textId="77777777" w:rsidR="00781555" w:rsidRDefault="00781555" w:rsidP="00C96E82">
      <w:pPr>
        <w:spacing w:before="0" w:after="0"/>
        <w:rPr>
          <w:rFonts w:eastAsiaTheme="minorHAnsi" w:cstheme="minorBidi"/>
          <w:color w:val="000000" w:themeColor="text1"/>
          <w:szCs w:val="22"/>
          <w:lang w:eastAsia="en-US"/>
        </w:rPr>
      </w:pPr>
    </w:p>
    <w:p w14:paraId="39F2AFB9" w14:textId="33981D7A" w:rsidR="005E1470" w:rsidRDefault="00781555" w:rsidP="00C96E82">
      <w:pPr>
        <w:spacing w:before="0" w:after="0"/>
        <w:rPr>
          <w:rFonts w:eastAsiaTheme="minorHAnsi" w:cstheme="minorBidi"/>
          <w:color w:val="000000" w:themeColor="text1"/>
          <w:szCs w:val="22"/>
          <w:lang w:eastAsia="en-US"/>
        </w:rPr>
      </w:pPr>
      <w:r>
        <w:rPr>
          <w:rFonts w:eastAsiaTheme="minorHAnsi" w:cstheme="minorBidi"/>
          <w:color w:val="000000" w:themeColor="text1"/>
          <w:szCs w:val="22"/>
          <w:lang w:eastAsia="en-US"/>
        </w:rPr>
        <w:t xml:space="preserve">All cases </w:t>
      </w:r>
      <w:r w:rsidR="005E1470">
        <w:rPr>
          <w:rFonts w:eastAsiaTheme="minorHAnsi" w:cstheme="minorBidi"/>
          <w:color w:val="000000" w:themeColor="text1"/>
          <w:szCs w:val="22"/>
          <w:lang w:eastAsia="en-US"/>
        </w:rPr>
        <w:t xml:space="preserve">in </w:t>
      </w:r>
      <w:r>
        <w:rPr>
          <w:rFonts w:eastAsiaTheme="minorHAnsi" w:cstheme="minorBidi"/>
          <w:color w:val="000000" w:themeColor="text1"/>
          <w:szCs w:val="22"/>
          <w:lang w:eastAsia="en-US"/>
        </w:rPr>
        <w:t>this quarter were reviewed using the Datix iCloud SJR module</w:t>
      </w:r>
      <w:r w:rsidR="00BE2C98">
        <w:rPr>
          <w:rFonts w:eastAsiaTheme="minorHAnsi" w:cstheme="minorBidi"/>
          <w:color w:val="000000" w:themeColor="text1"/>
          <w:szCs w:val="22"/>
          <w:lang w:eastAsia="en-US"/>
        </w:rPr>
        <w:t xml:space="preserve"> which uses the most up-to-date national question set.</w:t>
      </w:r>
      <w:r w:rsidR="00F539C3">
        <w:rPr>
          <w:rFonts w:eastAsiaTheme="minorHAnsi" w:cstheme="minorBidi"/>
          <w:color w:val="000000" w:themeColor="text1"/>
          <w:szCs w:val="22"/>
          <w:lang w:eastAsia="en-US"/>
        </w:rPr>
        <w:t xml:space="preserve"> Q</w:t>
      </w:r>
      <w:r w:rsidR="00BE2C98">
        <w:rPr>
          <w:rFonts w:eastAsiaTheme="minorHAnsi" w:cstheme="minorBidi"/>
          <w:color w:val="000000" w:themeColor="text1"/>
          <w:szCs w:val="22"/>
          <w:lang w:eastAsia="en-US"/>
        </w:rPr>
        <w:t>uestions include a subjective assessment of the avoidability of death – if this were deemed to b</w:t>
      </w:r>
      <w:r w:rsidR="008B504E">
        <w:rPr>
          <w:rFonts w:eastAsiaTheme="minorHAnsi" w:cstheme="minorBidi"/>
          <w:color w:val="000000" w:themeColor="text1"/>
          <w:szCs w:val="22"/>
          <w:lang w:eastAsia="en-US"/>
        </w:rPr>
        <w:t xml:space="preserve">e higher than 50:50 </w:t>
      </w:r>
      <w:r w:rsidR="00BE2C98">
        <w:rPr>
          <w:rFonts w:eastAsiaTheme="minorHAnsi" w:cstheme="minorBidi"/>
          <w:color w:val="000000" w:themeColor="text1"/>
          <w:szCs w:val="22"/>
          <w:lang w:eastAsia="en-US"/>
        </w:rPr>
        <w:t xml:space="preserve">then </w:t>
      </w:r>
      <w:r w:rsidR="00394AB5">
        <w:rPr>
          <w:rFonts w:eastAsiaTheme="minorHAnsi" w:cstheme="minorBidi"/>
          <w:color w:val="000000" w:themeColor="text1"/>
          <w:szCs w:val="22"/>
          <w:lang w:eastAsia="en-US"/>
        </w:rPr>
        <w:t xml:space="preserve">the </w:t>
      </w:r>
      <w:r w:rsidR="0020447F">
        <w:rPr>
          <w:rFonts w:eastAsiaTheme="minorHAnsi" w:cstheme="minorBidi"/>
          <w:color w:val="000000" w:themeColor="text1"/>
          <w:szCs w:val="22"/>
          <w:lang w:eastAsia="en-US"/>
        </w:rPr>
        <w:t xml:space="preserve">process to commence a </w:t>
      </w:r>
      <w:r w:rsidR="00BE2C98">
        <w:rPr>
          <w:rFonts w:eastAsiaTheme="minorHAnsi" w:cstheme="minorBidi"/>
          <w:color w:val="000000" w:themeColor="text1"/>
          <w:szCs w:val="22"/>
          <w:lang w:eastAsia="en-US"/>
        </w:rPr>
        <w:t xml:space="preserve">Patient Safety Incident </w:t>
      </w:r>
      <w:r w:rsidR="008B504E">
        <w:rPr>
          <w:rFonts w:eastAsiaTheme="minorHAnsi" w:cstheme="minorBidi"/>
          <w:color w:val="000000" w:themeColor="text1"/>
          <w:szCs w:val="22"/>
          <w:lang w:eastAsia="en-US"/>
        </w:rPr>
        <w:t xml:space="preserve">Investigation </w:t>
      </w:r>
      <w:r w:rsidR="00BE2C98">
        <w:rPr>
          <w:rFonts w:eastAsiaTheme="minorHAnsi" w:cstheme="minorBidi"/>
          <w:color w:val="000000" w:themeColor="text1"/>
          <w:szCs w:val="22"/>
          <w:lang w:eastAsia="en-US"/>
        </w:rPr>
        <w:t xml:space="preserve">(PSII) would </w:t>
      </w:r>
      <w:r w:rsidR="0020447F">
        <w:rPr>
          <w:rFonts w:eastAsiaTheme="minorHAnsi" w:cstheme="minorBidi"/>
          <w:color w:val="000000" w:themeColor="text1"/>
          <w:szCs w:val="22"/>
          <w:lang w:eastAsia="en-US"/>
        </w:rPr>
        <w:t>be triggered.</w:t>
      </w:r>
      <w:r w:rsidR="00F539C3">
        <w:rPr>
          <w:rFonts w:eastAsiaTheme="minorHAnsi" w:cstheme="minorBidi"/>
          <w:color w:val="000000" w:themeColor="text1"/>
          <w:szCs w:val="22"/>
          <w:lang w:eastAsia="en-US"/>
        </w:rPr>
        <w:t xml:space="preserve"> We also record if </w:t>
      </w:r>
      <w:r w:rsidR="00BE2C98">
        <w:rPr>
          <w:rFonts w:eastAsiaTheme="minorHAnsi" w:cstheme="minorBidi"/>
          <w:color w:val="000000" w:themeColor="text1"/>
          <w:szCs w:val="22"/>
          <w:lang w:eastAsia="en-US"/>
        </w:rPr>
        <w:t xml:space="preserve">there were gaps in clinical care, organisational aspects or both. In this quarter, organisational aspects noted </w:t>
      </w:r>
      <w:r w:rsidR="00F539C3">
        <w:rPr>
          <w:rFonts w:eastAsiaTheme="minorHAnsi" w:cstheme="minorBidi"/>
          <w:color w:val="000000" w:themeColor="text1"/>
          <w:szCs w:val="22"/>
          <w:lang w:eastAsia="en-US"/>
        </w:rPr>
        <w:t xml:space="preserve">continued to be </w:t>
      </w:r>
      <w:r w:rsidR="00BE2C98">
        <w:rPr>
          <w:rFonts w:eastAsiaTheme="minorHAnsi" w:cstheme="minorBidi"/>
          <w:color w:val="000000" w:themeColor="text1"/>
          <w:szCs w:val="22"/>
          <w:lang w:eastAsia="en-US"/>
        </w:rPr>
        <w:t>delays in admissions from the Emergency Department and failure to be</w:t>
      </w:r>
      <w:r w:rsidR="008B504E">
        <w:rPr>
          <w:rFonts w:eastAsiaTheme="minorHAnsi" w:cstheme="minorBidi"/>
          <w:color w:val="000000" w:themeColor="text1"/>
          <w:szCs w:val="22"/>
          <w:lang w:eastAsia="en-US"/>
        </w:rPr>
        <w:t xml:space="preserve"> </w:t>
      </w:r>
      <w:r w:rsidR="00BE2C98">
        <w:rPr>
          <w:rFonts w:eastAsiaTheme="minorHAnsi" w:cstheme="minorBidi"/>
          <w:color w:val="000000" w:themeColor="text1"/>
          <w:szCs w:val="22"/>
          <w:lang w:eastAsia="en-US"/>
        </w:rPr>
        <w:t xml:space="preserve">reviewed by a consultant within 14 hours of </w:t>
      </w:r>
      <w:commentRangeStart w:id="1"/>
      <w:commentRangeStart w:id="2"/>
      <w:r w:rsidR="00BE2C98">
        <w:rPr>
          <w:rFonts w:eastAsiaTheme="minorHAnsi" w:cstheme="minorBidi"/>
          <w:color w:val="000000" w:themeColor="text1"/>
          <w:szCs w:val="22"/>
          <w:lang w:eastAsia="en-US"/>
        </w:rPr>
        <w:t>admission</w:t>
      </w:r>
      <w:commentRangeEnd w:id="1"/>
      <w:r w:rsidR="006D1FB0">
        <w:rPr>
          <w:rStyle w:val="CommentReference"/>
          <w:rFonts w:eastAsia="Calibri"/>
        </w:rPr>
        <w:commentReference w:id="1"/>
      </w:r>
      <w:commentRangeEnd w:id="2"/>
      <w:r w:rsidR="00E3793B">
        <w:rPr>
          <w:rStyle w:val="CommentReference"/>
          <w:rFonts w:eastAsia="Calibri"/>
        </w:rPr>
        <w:commentReference w:id="2"/>
      </w:r>
      <w:r w:rsidR="00BE2C98">
        <w:rPr>
          <w:rFonts w:eastAsiaTheme="minorHAnsi" w:cstheme="minorBidi"/>
          <w:color w:val="000000" w:themeColor="text1"/>
          <w:szCs w:val="22"/>
          <w:lang w:eastAsia="en-US"/>
        </w:rPr>
        <w:t>.</w:t>
      </w:r>
    </w:p>
    <w:p w14:paraId="39CCB280" w14:textId="77777777" w:rsidR="005E1470" w:rsidRDefault="005E1470" w:rsidP="00C96E82">
      <w:pPr>
        <w:spacing w:before="0" w:after="0"/>
        <w:rPr>
          <w:rFonts w:eastAsiaTheme="minorHAnsi" w:cstheme="minorBidi"/>
          <w:color w:val="000000" w:themeColor="text1"/>
          <w:szCs w:val="22"/>
          <w:lang w:eastAsia="en-US"/>
        </w:rPr>
      </w:pPr>
    </w:p>
    <w:p w14:paraId="551305DB" w14:textId="65608C11" w:rsidR="00A5159A" w:rsidRPr="00BF6BC0" w:rsidRDefault="00A5159A" w:rsidP="00C96E82">
      <w:pPr>
        <w:spacing w:before="0" w:after="0"/>
        <w:rPr>
          <w:rFonts w:eastAsiaTheme="minorHAnsi" w:cstheme="minorBidi"/>
          <w:color w:val="000000" w:themeColor="text1"/>
          <w:szCs w:val="22"/>
          <w:lang w:eastAsia="en-US"/>
        </w:rPr>
      </w:pPr>
      <w:r w:rsidRPr="00BF6BC0">
        <w:rPr>
          <w:rFonts w:eastAsiaTheme="minorHAnsi" w:cstheme="minorBidi"/>
          <w:color w:val="000000" w:themeColor="text1"/>
          <w:szCs w:val="22"/>
          <w:lang w:eastAsia="en-US"/>
        </w:rPr>
        <w:t xml:space="preserve">The overall assessment of </w:t>
      </w:r>
      <w:r w:rsidR="00A83938">
        <w:rPr>
          <w:rFonts w:eastAsiaTheme="minorHAnsi" w:cstheme="minorBidi"/>
          <w:color w:val="000000" w:themeColor="text1"/>
          <w:szCs w:val="22"/>
          <w:lang w:eastAsia="en-US"/>
        </w:rPr>
        <w:t xml:space="preserve">the </w:t>
      </w:r>
      <w:r w:rsidRPr="00BF6BC0">
        <w:rPr>
          <w:rFonts w:eastAsiaTheme="minorHAnsi" w:cstheme="minorBidi"/>
          <w:color w:val="000000" w:themeColor="text1"/>
          <w:szCs w:val="22"/>
          <w:lang w:eastAsia="en-US"/>
        </w:rPr>
        <w:t xml:space="preserve">standard of care </w:t>
      </w:r>
      <w:r w:rsidR="00A83938">
        <w:rPr>
          <w:rFonts w:eastAsiaTheme="minorHAnsi" w:cstheme="minorBidi"/>
          <w:color w:val="000000" w:themeColor="text1"/>
          <w:szCs w:val="22"/>
          <w:lang w:eastAsia="en-US"/>
        </w:rPr>
        <w:t xml:space="preserve">of </w:t>
      </w:r>
      <w:r w:rsidRPr="00BF6BC0">
        <w:rPr>
          <w:rFonts w:eastAsiaTheme="minorHAnsi" w:cstheme="minorBidi"/>
          <w:color w:val="000000" w:themeColor="text1"/>
          <w:szCs w:val="22"/>
          <w:lang w:eastAsia="en-US"/>
        </w:rPr>
        <w:t>is shown in Table 1:</w:t>
      </w:r>
    </w:p>
    <w:p w14:paraId="58F473D2" w14:textId="350C3514" w:rsidR="00C55DF1" w:rsidRDefault="00C55DF1" w:rsidP="00DE1E3F">
      <w:pPr>
        <w:spacing w:before="0" w:after="0"/>
        <w:rPr>
          <w:rFonts w:eastAsiaTheme="minorHAnsi" w:cstheme="minorBidi"/>
          <w:szCs w:val="22"/>
          <w:lang w:eastAsia="en-US"/>
        </w:rPr>
      </w:pPr>
    </w:p>
    <w:tbl>
      <w:tblPr>
        <w:tblStyle w:val="GridTable1Light1"/>
        <w:tblW w:w="0" w:type="auto"/>
        <w:tblLayout w:type="fixed"/>
        <w:tblLook w:val="0620" w:firstRow="1" w:lastRow="0" w:firstColumn="0" w:lastColumn="0" w:noHBand="1" w:noVBand="1"/>
      </w:tblPr>
      <w:tblGrid>
        <w:gridCol w:w="1502"/>
        <w:gridCol w:w="1502"/>
        <w:gridCol w:w="1502"/>
        <w:gridCol w:w="1502"/>
        <w:gridCol w:w="1500"/>
        <w:gridCol w:w="1504"/>
      </w:tblGrid>
      <w:tr w:rsidR="22E6DB4E" w14:paraId="716BE881" w14:textId="77777777" w:rsidTr="00960947">
        <w:trPr>
          <w:cnfStyle w:val="100000000000" w:firstRow="1" w:lastRow="0" w:firstColumn="0" w:lastColumn="0" w:oddVBand="0" w:evenVBand="0" w:oddHBand="0" w:evenHBand="0" w:firstRowFirstColumn="0" w:firstRowLastColumn="0" w:lastRowFirstColumn="0" w:lastRowLastColumn="0"/>
          <w:trHeight w:val="300"/>
        </w:trPr>
        <w:tc>
          <w:tcPr>
            <w:tcW w:w="1502" w:type="dxa"/>
            <w:vAlign w:val="center"/>
          </w:tcPr>
          <w:p w14:paraId="3C9E3722" w14:textId="3927D159" w:rsidR="22E6DB4E" w:rsidRPr="00D50745" w:rsidRDefault="22E6DB4E" w:rsidP="00960947">
            <w:pPr>
              <w:spacing w:before="0"/>
              <w:jc w:val="center"/>
              <w:rPr>
                <w:color w:val="000000" w:themeColor="text1"/>
              </w:rPr>
            </w:pPr>
            <w:r w:rsidRPr="00D50745">
              <w:rPr>
                <w:rFonts w:ascii="Calibri" w:eastAsia="Calibri" w:hAnsi="Calibri" w:cs="Calibri"/>
                <w:color w:val="000000" w:themeColor="text1"/>
                <w:szCs w:val="22"/>
              </w:rPr>
              <w:t>Date of admission</w:t>
            </w:r>
          </w:p>
        </w:tc>
        <w:tc>
          <w:tcPr>
            <w:tcW w:w="1502" w:type="dxa"/>
            <w:vAlign w:val="center"/>
          </w:tcPr>
          <w:p w14:paraId="5A5BDE19" w14:textId="6C804CE0" w:rsidR="22E6DB4E" w:rsidRPr="00D50745" w:rsidRDefault="22E6DB4E" w:rsidP="00960947">
            <w:pPr>
              <w:spacing w:before="0"/>
              <w:jc w:val="center"/>
              <w:rPr>
                <w:color w:val="000000" w:themeColor="text1"/>
              </w:rPr>
            </w:pPr>
            <w:r w:rsidRPr="00D50745">
              <w:rPr>
                <w:rFonts w:ascii="Calibri" w:eastAsia="Calibri" w:hAnsi="Calibri" w:cs="Calibri"/>
                <w:color w:val="000000" w:themeColor="text1"/>
                <w:szCs w:val="22"/>
              </w:rPr>
              <w:t>Care in First 24 hours</w:t>
            </w:r>
          </w:p>
        </w:tc>
        <w:tc>
          <w:tcPr>
            <w:tcW w:w="1502" w:type="dxa"/>
            <w:vAlign w:val="center"/>
          </w:tcPr>
          <w:p w14:paraId="2A11A7C0" w14:textId="182850FF" w:rsidR="22E6DB4E" w:rsidRPr="00D50745" w:rsidRDefault="22E6DB4E" w:rsidP="00960947">
            <w:pPr>
              <w:spacing w:before="0"/>
              <w:jc w:val="center"/>
              <w:rPr>
                <w:color w:val="000000" w:themeColor="text1"/>
              </w:rPr>
            </w:pPr>
            <w:r w:rsidRPr="00D50745">
              <w:rPr>
                <w:rFonts w:ascii="Calibri" w:eastAsia="Calibri" w:hAnsi="Calibri" w:cs="Calibri"/>
                <w:color w:val="000000" w:themeColor="text1"/>
                <w:szCs w:val="22"/>
              </w:rPr>
              <w:t>Ongoing Care</w:t>
            </w:r>
          </w:p>
        </w:tc>
        <w:tc>
          <w:tcPr>
            <w:tcW w:w="1502" w:type="dxa"/>
            <w:vAlign w:val="center"/>
          </w:tcPr>
          <w:p w14:paraId="656346A2" w14:textId="38343145" w:rsidR="22E6DB4E" w:rsidRPr="00D50745" w:rsidRDefault="22E6DB4E" w:rsidP="00960947">
            <w:pPr>
              <w:spacing w:before="0"/>
              <w:jc w:val="center"/>
              <w:rPr>
                <w:color w:val="000000" w:themeColor="text1"/>
              </w:rPr>
            </w:pPr>
            <w:r w:rsidRPr="00D50745">
              <w:rPr>
                <w:rFonts w:ascii="Calibri" w:eastAsia="Calibri" w:hAnsi="Calibri" w:cs="Calibri"/>
                <w:color w:val="000000" w:themeColor="text1"/>
                <w:szCs w:val="22"/>
              </w:rPr>
              <w:t>Avoidability of Death</w:t>
            </w:r>
          </w:p>
        </w:tc>
        <w:tc>
          <w:tcPr>
            <w:tcW w:w="1500" w:type="dxa"/>
            <w:vAlign w:val="center"/>
          </w:tcPr>
          <w:p w14:paraId="6846EE78" w14:textId="5C32843C" w:rsidR="22E6DB4E" w:rsidRPr="00D50745" w:rsidRDefault="22E6DB4E" w:rsidP="00960947">
            <w:pPr>
              <w:spacing w:before="0"/>
              <w:jc w:val="center"/>
              <w:rPr>
                <w:color w:val="000000" w:themeColor="text1"/>
              </w:rPr>
            </w:pPr>
            <w:r w:rsidRPr="00D50745">
              <w:rPr>
                <w:rFonts w:ascii="Calibri" w:eastAsia="Calibri" w:hAnsi="Calibri" w:cs="Calibri"/>
                <w:color w:val="000000" w:themeColor="text1"/>
                <w:szCs w:val="22"/>
              </w:rPr>
              <w:t>Clinical</w:t>
            </w:r>
            <w:r w:rsidR="00960947">
              <w:rPr>
                <w:rFonts w:ascii="Calibri" w:eastAsia="Calibri" w:hAnsi="Calibri" w:cs="Calibri"/>
                <w:color w:val="000000" w:themeColor="text1"/>
                <w:szCs w:val="22"/>
              </w:rPr>
              <w:t>/</w:t>
            </w:r>
            <w:r w:rsidRPr="00D50745">
              <w:rPr>
                <w:rFonts w:ascii="Calibri" w:eastAsia="Calibri" w:hAnsi="Calibri" w:cs="Calibri"/>
                <w:color w:val="000000" w:themeColor="text1"/>
                <w:szCs w:val="22"/>
              </w:rPr>
              <w:t xml:space="preserve"> Organisation score (NCEPOD)</w:t>
            </w:r>
          </w:p>
        </w:tc>
        <w:tc>
          <w:tcPr>
            <w:tcW w:w="1504" w:type="dxa"/>
            <w:vAlign w:val="center"/>
          </w:tcPr>
          <w:p w14:paraId="4BB43CA8" w14:textId="7E02130B" w:rsidR="22E6DB4E" w:rsidRPr="00D50745" w:rsidRDefault="22E6DB4E" w:rsidP="00960947">
            <w:pPr>
              <w:spacing w:before="0"/>
              <w:jc w:val="center"/>
              <w:rPr>
                <w:color w:val="000000" w:themeColor="text1"/>
              </w:rPr>
            </w:pPr>
            <w:r w:rsidRPr="00D50745">
              <w:rPr>
                <w:rFonts w:ascii="Calibri" w:eastAsia="Calibri" w:hAnsi="Calibri" w:cs="Calibri"/>
                <w:color w:val="000000" w:themeColor="text1"/>
                <w:szCs w:val="22"/>
              </w:rPr>
              <w:t>Overall Care</w:t>
            </w:r>
          </w:p>
        </w:tc>
      </w:tr>
      <w:tr w:rsidR="22E6DB4E" w14:paraId="2A4E0E0A" w14:textId="77777777" w:rsidTr="00960947">
        <w:trPr>
          <w:trHeight w:val="300"/>
        </w:trPr>
        <w:tc>
          <w:tcPr>
            <w:tcW w:w="1502" w:type="dxa"/>
            <w:vAlign w:val="center"/>
          </w:tcPr>
          <w:p w14:paraId="1021AD3C" w14:textId="19B136AE" w:rsidR="22E6DB4E" w:rsidRDefault="22E6DB4E" w:rsidP="00960947">
            <w:pPr>
              <w:spacing w:before="0"/>
              <w:jc w:val="center"/>
            </w:pPr>
            <w:r w:rsidRPr="22E6DB4E">
              <w:rPr>
                <w:rFonts w:ascii="Calibri" w:eastAsia="Calibri" w:hAnsi="Calibri" w:cs="Calibri"/>
                <w:color w:val="000000" w:themeColor="text1"/>
                <w:szCs w:val="22"/>
              </w:rPr>
              <w:t>04/10/2024</w:t>
            </w:r>
          </w:p>
        </w:tc>
        <w:tc>
          <w:tcPr>
            <w:tcW w:w="1502" w:type="dxa"/>
            <w:vAlign w:val="center"/>
          </w:tcPr>
          <w:p w14:paraId="3D3DE84A" w14:textId="7975D585"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0B98F2F8" w14:textId="12DFC509"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41471B9E" w14:textId="1A912F2A"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0CBB1708" w14:textId="625A9A08" w:rsidR="22E6DB4E" w:rsidRDefault="22E6DB4E" w:rsidP="00960947">
            <w:pPr>
              <w:spacing w:before="0"/>
              <w:jc w:val="center"/>
            </w:pPr>
            <w:r w:rsidRPr="22E6DB4E">
              <w:rPr>
                <w:rFonts w:ascii="Calibri" w:eastAsia="Calibri" w:hAnsi="Calibri" w:cs="Calibri"/>
                <w:color w:val="000000" w:themeColor="text1"/>
                <w:szCs w:val="22"/>
              </w:rPr>
              <w:t>Good practice</w:t>
            </w:r>
          </w:p>
        </w:tc>
        <w:tc>
          <w:tcPr>
            <w:tcW w:w="1504" w:type="dxa"/>
            <w:vAlign w:val="center"/>
          </w:tcPr>
          <w:p w14:paraId="7777881E" w14:textId="0DE61691"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6901D88D" w14:textId="77777777" w:rsidTr="00960947">
        <w:trPr>
          <w:trHeight w:val="300"/>
        </w:trPr>
        <w:tc>
          <w:tcPr>
            <w:tcW w:w="1502" w:type="dxa"/>
            <w:vAlign w:val="center"/>
          </w:tcPr>
          <w:p w14:paraId="12694697" w14:textId="0D7C61A0" w:rsidR="22E6DB4E" w:rsidRDefault="22E6DB4E" w:rsidP="00960947">
            <w:pPr>
              <w:spacing w:before="0"/>
              <w:jc w:val="center"/>
            </w:pPr>
            <w:r w:rsidRPr="22E6DB4E">
              <w:rPr>
                <w:rFonts w:ascii="Calibri" w:eastAsia="Calibri" w:hAnsi="Calibri" w:cs="Calibri"/>
                <w:color w:val="000000" w:themeColor="text1"/>
                <w:szCs w:val="22"/>
              </w:rPr>
              <w:t>04/10/2024</w:t>
            </w:r>
          </w:p>
        </w:tc>
        <w:tc>
          <w:tcPr>
            <w:tcW w:w="1502" w:type="dxa"/>
            <w:vAlign w:val="center"/>
          </w:tcPr>
          <w:p w14:paraId="4ACE5BA0" w14:textId="1AE9907D" w:rsidR="22E6DB4E" w:rsidRDefault="22E6DB4E" w:rsidP="00960947">
            <w:pPr>
              <w:spacing w:before="0"/>
              <w:jc w:val="center"/>
            </w:pPr>
            <w:r w:rsidRPr="22E6DB4E">
              <w:rPr>
                <w:rFonts w:ascii="Calibri" w:eastAsia="Calibri" w:hAnsi="Calibri" w:cs="Calibri"/>
                <w:color w:val="000000" w:themeColor="text1"/>
                <w:szCs w:val="22"/>
              </w:rPr>
              <w:t>Adequate care</w:t>
            </w:r>
          </w:p>
        </w:tc>
        <w:tc>
          <w:tcPr>
            <w:tcW w:w="1502" w:type="dxa"/>
            <w:vAlign w:val="center"/>
          </w:tcPr>
          <w:p w14:paraId="741A2B9E" w14:textId="7BDDECFF" w:rsidR="22E6DB4E" w:rsidRDefault="22E6DB4E" w:rsidP="00960947">
            <w:pPr>
              <w:spacing w:before="0"/>
              <w:jc w:val="center"/>
            </w:pPr>
            <w:r w:rsidRPr="22E6DB4E">
              <w:rPr>
                <w:rFonts w:ascii="Calibri" w:eastAsia="Calibri" w:hAnsi="Calibri" w:cs="Calibri"/>
                <w:color w:val="000000" w:themeColor="text1"/>
                <w:szCs w:val="22"/>
              </w:rPr>
              <w:t>Not Applicable</w:t>
            </w:r>
          </w:p>
        </w:tc>
        <w:tc>
          <w:tcPr>
            <w:tcW w:w="1502" w:type="dxa"/>
            <w:vAlign w:val="center"/>
          </w:tcPr>
          <w:p w14:paraId="2C81AAD3" w14:textId="49675C0F"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59672241" w14:textId="492DA273" w:rsidR="22E6DB4E" w:rsidRDefault="22E6DB4E" w:rsidP="00960947">
            <w:pPr>
              <w:spacing w:before="0"/>
              <w:jc w:val="center"/>
            </w:pPr>
            <w:r w:rsidRPr="22E6DB4E">
              <w:rPr>
                <w:rFonts w:ascii="Calibri" w:eastAsia="Calibri" w:hAnsi="Calibri" w:cs="Calibri"/>
                <w:color w:val="000000" w:themeColor="text1"/>
                <w:szCs w:val="22"/>
              </w:rPr>
              <w:t>Room for improvement in clinical care</w:t>
            </w:r>
          </w:p>
        </w:tc>
        <w:tc>
          <w:tcPr>
            <w:tcW w:w="1504" w:type="dxa"/>
            <w:vAlign w:val="center"/>
          </w:tcPr>
          <w:p w14:paraId="47C62459" w14:textId="1F8BD1C5"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430A3DCC" w14:textId="77777777" w:rsidTr="00960947">
        <w:trPr>
          <w:trHeight w:val="300"/>
        </w:trPr>
        <w:tc>
          <w:tcPr>
            <w:tcW w:w="1502" w:type="dxa"/>
            <w:vAlign w:val="center"/>
          </w:tcPr>
          <w:p w14:paraId="71C51040" w14:textId="0FA779E5" w:rsidR="22E6DB4E" w:rsidRDefault="22E6DB4E" w:rsidP="00960947">
            <w:pPr>
              <w:spacing w:before="0"/>
              <w:jc w:val="center"/>
            </w:pPr>
            <w:r w:rsidRPr="22E6DB4E">
              <w:rPr>
                <w:rFonts w:ascii="Calibri" w:eastAsia="Calibri" w:hAnsi="Calibri" w:cs="Calibri"/>
                <w:color w:val="000000" w:themeColor="text1"/>
                <w:szCs w:val="22"/>
              </w:rPr>
              <w:lastRenderedPageBreak/>
              <w:t>01/10/2024</w:t>
            </w:r>
          </w:p>
        </w:tc>
        <w:tc>
          <w:tcPr>
            <w:tcW w:w="1502" w:type="dxa"/>
            <w:vAlign w:val="center"/>
          </w:tcPr>
          <w:p w14:paraId="30FEE726" w14:textId="4434CDB7" w:rsidR="22E6DB4E" w:rsidRDefault="22E6DB4E" w:rsidP="00960947">
            <w:pPr>
              <w:spacing w:before="0"/>
              <w:jc w:val="center"/>
            </w:pPr>
            <w:r w:rsidRPr="22E6DB4E">
              <w:rPr>
                <w:rFonts w:ascii="Calibri" w:eastAsia="Calibri" w:hAnsi="Calibri" w:cs="Calibri"/>
                <w:color w:val="000000" w:themeColor="text1"/>
                <w:szCs w:val="22"/>
              </w:rPr>
              <w:t>Poor care</w:t>
            </w:r>
          </w:p>
        </w:tc>
        <w:tc>
          <w:tcPr>
            <w:tcW w:w="1502" w:type="dxa"/>
            <w:vAlign w:val="center"/>
          </w:tcPr>
          <w:p w14:paraId="0D1CF194" w14:textId="5C7876D6" w:rsidR="22E6DB4E" w:rsidRDefault="22E6DB4E" w:rsidP="00960947">
            <w:pPr>
              <w:spacing w:before="0"/>
              <w:jc w:val="center"/>
            </w:pPr>
            <w:r w:rsidRPr="22E6DB4E">
              <w:rPr>
                <w:rFonts w:ascii="Calibri" w:eastAsia="Calibri" w:hAnsi="Calibri" w:cs="Calibri"/>
                <w:color w:val="000000" w:themeColor="text1"/>
                <w:szCs w:val="22"/>
              </w:rPr>
              <w:t>Poor care</w:t>
            </w:r>
          </w:p>
        </w:tc>
        <w:tc>
          <w:tcPr>
            <w:tcW w:w="1502" w:type="dxa"/>
            <w:vAlign w:val="center"/>
          </w:tcPr>
          <w:p w14:paraId="6F68C098" w14:textId="06ECF4BE" w:rsidR="22E6DB4E" w:rsidRDefault="22E6DB4E" w:rsidP="00960947">
            <w:pPr>
              <w:spacing w:before="0"/>
              <w:jc w:val="center"/>
            </w:pPr>
            <w:r w:rsidRPr="22E6DB4E">
              <w:rPr>
                <w:rFonts w:ascii="Calibri" w:eastAsia="Calibri" w:hAnsi="Calibri" w:cs="Calibri"/>
                <w:color w:val="000000" w:themeColor="text1"/>
                <w:szCs w:val="22"/>
              </w:rPr>
              <w:t>Slight evidence of avoidability</w:t>
            </w:r>
          </w:p>
        </w:tc>
        <w:tc>
          <w:tcPr>
            <w:tcW w:w="1500" w:type="dxa"/>
            <w:vAlign w:val="center"/>
          </w:tcPr>
          <w:p w14:paraId="39EA7507" w14:textId="1296B744" w:rsidR="22E6DB4E" w:rsidRDefault="22E6DB4E" w:rsidP="00960947">
            <w:pPr>
              <w:spacing w:before="0"/>
              <w:jc w:val="center"/>
            </w:pPr>
            <w:r w:rsidRPr="22E6DB4E">
              <w:rPr>
                <w:rFonts w:ascii="Calibri" w:eastAsia="Calibri" w:hAnsi="Calibri" w:cs="Calibri"/>
                <w:color w:val="000000" w:themeColor="text1"/>
                <w:szCs w:val="22"/>
              </w:rPr>
              <w:t>Room for improvement in clinical and organisational care</w:t>
            </w:r>
          </w:p>
        </w:tc>
        <w:tc>
          <w:tcPr>
            <w:tcW w:w="1504" w:type="dxa"/>
            <w:vAlign w:val="center"/>
          </w:tcPr>
          <w:p w14:paraId="6D978A84" w14:textId="29320B79" w:rsidR="22E6DB4E" w:rsidRDefault="22E6DB4E" w:rsidP="00960947">
            <w:pPr>
              <w:spacing w:before="0"/>
              <w:jc w:val="center"/>
            </w:pPr>
            <w:r w:rsidRPr="22E6DB4E">
              <w:rPr>
                <w:rFonts w:ascii="Calibri" w:eastAsia="Calibri" w:hAnsi="Calibri" w:cs="Calibri"/>
                <w:color w:val="000000" w:themeColor="text1"/>
                <w:szCs w:val="22"/>
              </w:rPr>
              <w:t>Poor care</w:t>
            </w:r>
          </w:p>
        </w:tc>
      </w:tr>
      <w:tr w:rsidR="22E6DB4E" w14:paraId="2556656B" w14:textId="77777777" w:rsidTr="00960947">
        <w:trPr>
          <w:trHeight w:val="300"/>
        </w:trPr>
        <w:tc>
          <w:tcPr>
            <w:tcW w:w="1502" w:type="dxa"/>
            <w:vAlign w:val="center"/>
          </w:tcPr>
          <w:p w14:paraId="2AE4314A" w14:textId="08A2B1D6" w:rsidR="22E6DB4E" w:rsidRDefault="22E6DB4E" w:rsidP="00960947">
            <w:pPr>
              <w:spacing w:before="0"/>
              <w:jc w:val="center"/>
            </w:pPr>
            <w:r w:rsidRPr="22E6DB4E">
              <w:rPr>
                <w:rFonts w:ascii="Calibri" w:eastAsia="Calibri" w:hAnsi="Calibri" w:cs="Calibri"/>
                <w:color w:val="000000" w:themeColor="text1"/>
                <w:szCs w:val="22"/>
              </w:rPr>
              <w:t>11/10/2024</w:t>
            </w:r>
          </w:p>
        </w:tc>
        <w:tc>
          <w:tcPr>
            <w:tcW w:w="1502" w:type="dxa"/>
            <w:vAlign w:val="center"/>
          </w:tcPr>
          <w:p w14:paraId="6BB6CBAD" w14:textId="01EB0E9D"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2C9A932D" w14:textId="189858BD"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59D2B17E" w14:textId="10218672"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0C424E9C" w14:textId="388311DB" w:rsidR="22E6DB4E" w:rsidRDefault="22E6DB4E" w:rsidP="00960947">
            <w:pPr>
              <w:spacing w:before="0"/>
              <w:jc w:val="center"/>
            </w:pPr>
            <w:r w:rsidRPr="22E6DB4E">
              <w:rPr>
                <w:rFonts w:ascii="Calibri" w:eastAsia="Calibri" w:hAnsi="Calibri" w:cs="Calibri"/>
                <w:color w:val="000000" w:themeColor="text1"/>
                <w:szCs w:val="22"/>
              </w:rPr>
              <w:t>Good practice</w:t>
            </w:r>
          </w:p>
        </w:tc>
        <w:tc>
          <w:tcPr>
            <w:tcW w:w="1504" w:type="dxa"/>
            <w:vAlign w:val="center"/>
          </w:tcPr>
          <w:p w14:paraId="483D760F" w14:textId="0D367117"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58738C69" w14:textId="77777777" w:rsidTr="00960947">
        <w:trPr>
          <w:trHeight w:val="300"/>
        </w:trPr>
        <w:tc>
          <w:tcPr>
            <w:tcW w:w="1502" w:type="dxa"/>
            <w:vAlign w:val="center"/>
          </w:tcPr>
          <w:p w14:paraId="7CD1B521" w14:textId="638E6F87" w:rsidR="22E6DB4E" w:rsidRDefault="22E6DB4E" w:rsidP="00960947">
            <w:pPr>
              <w:spacing w:before="0"/>
              <w:jc w:val="center"/>
            </w:pPr>
            <w:r w:rsidRPr="22E6DB4E">
              <w:rPr>
                <w:rFonts w:ascii="Calibri" w:eastAsia="Calibri" w:hAnsi="Calibri" w:cs="Calibri"/>
                <w:color w:val="000000" w:themeColor="text1"/>
                <w:szCs w:val="22"/>
              </w:rPr>
              <w:t>27/09/2024</w:t>
            </w:r>
          </w:p>
        </w:tc>
        <w:tc>
          <w:tcPr>
            <w:tcW w:w="1502" w:type="dxa"/>
            <w:vAlign w:val="center"/>
          </w:tcPr>
          <w:p w14:paraId="177A91E2" w14:textId="5B7D24F5" w:rsidR="22E6DB4E" w:rsidRDefault="22E6DB4E" w:rsidP="00960947">
            <w:pPr>
              <w:spacing w:before="0"/>
              <w:jc w:val="center"/>
            </w:pPr>
            <w:r w:rsidRPr="22E6DB4E">
              <w:rPr>
                <w:rFonts w:ascii="Calibri" w:eastAsia="Calibri" w:hAnsi="Calibri" w:cs="Calibri"/>
                <w:color w:val="000000" w:themeColor="text1"/>
                <w:szCs w:val="22"/>
              </w:rPr>
              <w:t>Adequate care</w:t>
            </w:r>
          </w:p>
        </w:tc>
        <w:tc>
          <w:tcPr>
            <w:tcW w:w="1502" w:type="dxa"/>
            <w:vAlign w:val="center"/>
          </w:tcPr>
          <w:p w14:paraId="76955812" w14:textId="49809109" w:rsidR="22E6DB4E" w:rsidRDefault="22E6DB4E" w:rsidP="00960947">
            <w:pPr>
              <w:spacing w:before="0"/>
              <w:jc w:val="center"/>
            </w:pPr>
            <w:r w:rsidRPr="22E6DB4E">
              <w:rPr>
                <w:rFonts w:ascii="Calibri" w:eastAsia="Calibri" w:hAnsi="Calibri" w:cs="Calibri"/>
                <w:color w:val="000000" w:themeColor="text1"/>
                <w:szCs w:val="22"/>
              </w:rPr>
              <w:t>Not Applicable</w:t>
            </w:r>
          </w:p>
        </w:tc>
        <w:tc>
          <w:tcPr>
            <w:tcW w:w="1502" w:type="dxa"/>
            <w:vAlign w:val="center"/>
          </w:tcPr>
          <w:p w14:paraId="19808B14" w14:textId="0498CA55" w:rsidR="22E6DB4E" w:rsidRDefault="22E6DB4E" w:rsidP="00960947">
            <w:pPr>
              <w:spacing w:before="0"/>
              <w:jc w:val="center"/>
            </w:pPr>
            <w:r w:rsidRPr="22E6DB4E">
              <w:rPr>
                <w:rFonts w:ascii="Calibri" w:eastAsia="Calibri" w:hAnsi="Calibri" w:cs="Calibri"/>
                <w:color w:val="000000" w:themeColor="text1"/>
                <w:szCs w:val="22"/>
              </w:rPr>
              <w:t>Slight evidence of avoidability</w:t>
            </w:r>
          </w:p>
        </w:tc>
        <w:tc>
          <w:tcPr>
            <w:tcW w:w="1500" w:type="dxa"/>
            <w:vAlign w:val="center"/>
          </w:tcPr>
          <w:p w14:paraId="789BFC80" w14:textId="7C3FC4DF" w:rsidR="22E6DB4E" w:rsidRDefault="22E6DB4E" w:rsidP="00960947">
            <w:pPr>
              <w:spacing w:before="0"/>
              <w:jc w:val="center"/>
            </w:pPr>
            <w:r w:rsidRPr="22E6DB4E">
              <w:rPr>
                <w:rFonts w:ascii="Calibri" w:eastAsia="Calibri" w:hAnsi="Calibri" w:cs="Calibri"/>
                <w:color w:val="000000" w:themeColor="text1"/>
                <w:szCs w:val="22"/>
              </w:rPr>
              <w:t>Room for improvement in clinical care</w:t>
            </w:r>
          </w:p>
        </w:tc>
        <w:tc>
          <w:tcPr>
            <w:tcW w:w="1504" w:type="dxa"/>
            <w:vAlign w:val="center"/>
          </w:tcPr>
          <w:p w14:paraId="0D9D6F86" w14:textId="04EF0668" w:rsidR="22E6DB4E" w:rsidRDefault="22E6DB4E" w:rsidP="00960947">
            <w:pPr>
              <w:spacing w:before="0"/>
              <w:jc w:val="center"/>
            </w:pPr>
            <w:r w:rsidRPr="22E6DB4E">
              <w:rPr>
                <w:rFonts w:ascii="Calibri" w:eastAsia="Calibri" w:hAnsi="Calibri" w:cs="Calibri"/>
                <w:color w:val="000000" w:themeColor="text1"/>
                <w:szCs w:val="22"/>
              </w:rPr>
              <w:t>Adequate care</w:t>
            </w:r>
          </w:p>
        </w:tc>
      </w:tr>
      <w:tr w:rsidR="22E6DB4E" w14:paraId="67779C34" w14:textId="77777777" w:rsidTr="00960947">
        <w:trPr>
          <w:trHeight w:val="300"/>
        </w:trPr>
        <w:tc>
          <w:tcPr>
            <w:tcW w:w="1502" w:type="dxa"/>
            <w:vAlign w:val="center"/>
          </w:tcPr>
          <w:p w14:paraId="1FE6DBB7" w14:textId="49C2CA85" w:rsidR="22E6DB4E" w:rsidRDefault="22E6DB4E" w:rsidP="00960947">
            <w:pPr>
              <w:spacing w:before="0"/>
              <w:jc w:val="center"/>
            </w:pPr>
            <w:r w:rsidRPr="22E6DB4E">
              <w:rPr>
                <w:rFonts w:ascii="Calibri" w:eastAsia="Calibri" w:hAnsi="Calibri" w:cs="Calibri"/>
                <w:color w:val="000000" w:themeColor="text1"/>
                <w:szCs w:val="22"/>
              </w:rPr>
              <w:t>15/10/2024</w:t>
            </w:r>
          </w:p>
        </w:tc>
        <w:tc>
          <w:tcPr>
            <w:tcW w:w="1502" w:type="dxa"/>
            <w:vAlign w:val="center"/>
          </w:tcPr>
          <w:p w14:paraId="43115EFB" w14:textId="766DC8DF" w:rsidR="22E6DB4E" w:rsidRDefault="22E6DB4E" w:rsidP="00960947">
            <w:pPr>
              <w:spacing w:before="0"/>
              <w:jc w:val="center"/>
            </w:pPr>
            <w:r w:rsidRPr="22E6DB4E">
              <w:rPr>
                <w:rFonts w:ascii="Calibri" w:eastAsia="Calibri" w:hAnsi="Calibri" w:cs="Calibri"/>
                <w:color w:val="000000" w:themeColor="text1"/>
                <w:szCs w:val="22"/>
              </w:rPr>
              <w:t>Excellent care</w:t>
            </w:r>
          </w:p>
        </w:tc>
        <w:tc>
          <w:tcPr>
            <w:tcW w:w="1502" w:type="dxa"/>
            <w:vAlign w:val="center"/>
          </w:tcPr>
          <w:p w14:paraId="07F0151C" w14:textId="10DF39E5" w:rsidR="22E6DB4E" w:rsidRDefault="22E6DB4E" w:rsidP="00960947">
            <w:pPr>
              <w:spacing w:before="0"/>
              <w:jc w:val="center"/>
            </w:pPr>
            <w:r w:rsidRPr="22E6DB4E">
              <w:rPr>
                <w:rFonts w:ascii="Calibri" w:eastAsia="Calibri" w:hAnsi="Calibri" w:cs="Calibri"/>
                <w:color w:val="000000" w:themeColor="text1"/>
                <w:szCs w:val="22"/>
              </w:rPr>
              <w:t>Excellent care</w:t>
            </w:r>
          </w:p>
        </w:tc>
        <w:tc>
          <w:tcPr>
            <w:tcW w:w="1502" w:type="dxa"/>
            <w:vAlign w:val="center"/>
          </w:tcPr>
          <w:p w14:paraId="171D6D8B" w14:textId="7C87E66E"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7163DD5F" w14:textId="7C632555" w:rsidR="22E6DB4E" w:rsidRDefault="22E6DB4E" w:rsidP="00960947">
            <w:pPr>
              <w:spacing w:before="0"/>
              <w:jc w:val="center"/>
            </w:pPr>
            <w:r w:rsidRPr="22E6DB4E">
              <w:rPr>
                <w:rFonts w:ascii="Calibri" w:eastAsia="Calibri" w:hAnsi="Calibri" w:cs="Calibri"/>
                <w:color w:val="000000" w:themeColor="text1"/>
                <w:szCs w:val="22"/>
              </w:rPr>
              <w:t>Good practice</w:t>
            </w:r>
          </w:p>
        </w:tc>
        <w:tc>
          <w:tcPr>
            <w:tcW w:w="1504" w:type="dxa"/>
            <w:vAlign w:val="center"/>
          </w:tcPr>
          <w:p w14:paraId="4D212E56" w14:textId="2BCEF1D4" w:rsidR="22E6DB4E" w:rsidRDefault="22E6DB4E" w:rsidP="00960947">
            <w:pPr>
              <w:spacing w:before="0"/>
              <w:jc w:val="center"/>
            </w:pPr>
            <w:r w:rsidRPr="22E6DB4E">
              <w:rPr>
                <w:rFonts w:ascii="Calibri" w:eastAsia="Calibri" w:hAnsi="Calibri" w:cs="Calibri"/>
                <w:color w:val="000000" w:themeColor="text1"/>
                <w:szCs w:val="22"/>
              </w:rPr>
              <w:t>Excellent care</w:t>
            </w:r>
          </w:p>
        </w:tc>
      </w:tr>
      <w:tr w:rsidR="22E6DB4E" w14:paraId="107E6F37" w14:textId="77777777" w:rsidTr="00960947">
        <w:trPr>
          <w:trHeight w:val="300"/>
        </w:trPr>
        <w:tc>
          <w:tcPr>
            <w:tcW w:w="1502" w:type="dxa"/>
            <w:vAlign w:val="center"/>
          </w:tcPr>
          <w:p w14:paraId="3CFDB550" w14:textId="49B35482" w:rsidR="22E6DB4E" w:rsidRDefault="22E6DB4E" w:rsidP="00960947">
            <w:pPr>
              <w:spacing w:before="0"/>
              <w:jc w:val="center"/>
            </w:pPr>
            <w:r w:rsidRPr="22E6DB4E">
              <w:rPr>
                <w:rFonts w:ascii="Calibri" w:eastAsia="Calibri" w:hAnsi="Calibri" w:cs="Calibri"/>
                <w:color w:val="000000" w:themeColor="text1"/>
                <w:szCs w:val="22"/>
              </w:rPr>
              <w:t>07/10/2024</w:t>
            </w:r>
          </w:p>
        </w:tc>
        <w:tc>
          <w:tcPr>
            <w:tcW w:w="1502" w:type="dxa"/>
            <w:vAlign w:val="center"/>
          </w:tcPr>
          <w:p w14:paraId="556CFD54" w14:textId="60E96936"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080FA9CE" w14:textId="7CF67588" w:rsidR="22E6DB4E" w:rsidRDefault="22E6DB4E" w:rsidP="00960947">
            <w:pPr>
              <w:spacing w:before="0"/>
              <w:jc w:val="center"/>
            </w:pPr>
            <w:r w:rsidRPr="22E6DB4E">
              <w:rPr>
                <w:rFonts w:ascii="Calibri" w:eastAsia="Calibri" w:hAnsi="Calibri" w:cs="Calibri"/>
                <w:color w:val="000000" w:themeColor="text1"/>
                <w:szCs w:val="22"/>
              </w:rPr>
              <w:t>Poor care</w:t>
            </w:r>
          </w:p>
        </w:tc>
        <w:tc>
          <w:tcPr>
            <w:tcW w:w="1502" w:type="dxa"/>
            <w:vAlign w:val="center"/>
          </w:tcPr>
          <w:p w14:paraId="6089B302" w14:textId="520D7352" w:rsidR="22E6DB4E" w:rsidRDefault="22E6DB4E" w:rsidP="00960947">
            <w:pPr>
              <w:spacing w:before="0"/>
              <w:jc w:val="center"/>
            </w:pPr>
            <w:r w:rsidRPr="22E6DB4E">
              <w:rPr>
                <w:rFonts w:ascii="Calibri" w:eastAsia="Calibri" w:hAnsi="Calibri" w:cs="Calibri"/>
                <w:color w:val="000000" w:themeColor="text1"/>
                <w:szCs w:val="22"/>
              </w:rPr>
              <w:t>Slight evidence of avoidability</w:t>
            </w:r>
          </w:p>
        </w:tc>
        <w:tc>
          <w:tcPr>
            <w:tcW w:w="1500" w:type="dxa"/>
            <w:vAlign w:val="center"/>
          </w:tcPr>
          <w:p w14:paraId="5CC70851" w14:textId="02B88503" w:rsidR="22E6DB4E" w:rsidRDefault="22E6DB4E" w:rsidP="00960947">
            <w:pPr>
              <w:spacing w:before="0"/>
              <w:jc w:val="center"/>
            </w:pPr>
            <w:r w:rsidRPr="22E6DB4E">
              <w:rPr>
                <w:rFonts w:ascii="Calibri" w:eastAsia="Calibri" w:hAnsi="Calibri" w:cs="Calibri"/>
                <w:color w:val="000000" w:themeColor="text1"/>
                <w:szCs w:val="22"/>
              </w:rPr>
              <w:t>Room for improvement in clinical care</w:t>
            </w:r>
          </w:p>
        </w:tc>
        <w:tc>
          <w:tcPr>
            <w:tcW w:w="1504" w:type="dxa"/>
            <w:vAlign w:val="center"/>
          </w:tcPr>
          <w:p w14:paraId="2FEEEA12" w14:textId="7A93F3CB" w:rsidR="22E6DB4E" w:rsidRDefault="22E6DB4E" w:rsidP="00960947">
            <w:pPr>
              <w:spacing w:before="0"/>
              <w:jc w:val="center"/>
            </w:pPr>
            <w:r w:rsidRPr="22E6DB4E">
              <w:rPr>
                <w:rFonts w:ascii="Calibri" w:eastAsia="Calibri" w:hAnsi="Calibri" w:cs="Calibri"/>
                <w:color w:val="000000" w:themeColor="text1"/>
                <w:szCs w:val="22"/>
              </w:rPr>
              <w:t>Poor care</w:t>
            </w:r>
          </w:p>
        </w:tc>
      </w:tr>
      <w:tr w:rsidR="22E6DB4E" w14:paraId="32F5AE42" w14:textId="77777777" w:rsidTr="00960947">
        <w:trPr>
          <w:trHeight w:val="300"/>
        </w:trPr>
        <w:tc>
          <w:tcPr>
            <w:tcW w:w="1502" w:type="dxa"/>
            <w:vAlign w:val="center"/>
          </w:tcPr>
          <w:p w14:paraId="1EAABC8E" w14:textId="23FC97FE" w:rsidR="22E6DB4E" w:rsidRDefault="22E6DB4E" w:rsidP="00960947">
            <w:pPr>
              <w:spacing w:before="0"/>
              <w:jc w:val="center"/>
            </w:pPr>
            <w:r w:rsidRPr="22E6DB4E">
              <w:rPr>
                <w:rFonts w:ascii="Calibri" w:eastAsia="Calibri" w:hAnsi="Calibri" w:cs="Calibri"/>
                <w:color w:val="000000" w:themeColor="text1"/>
                <w:szCs w:val="22"/>
              </w:rPr>
              <w:t>25/11/2024</w:t>
            </w:r>
          </w:p>
        </w:tc>
        <w:tc>
          <w:tcPr>
            <w:tcW w:w="1502" w:type="dxa"/>
            <w:vAlign w:val="center"/>
          </w:tcPr>
          <w:p w14:paraId="051E5E91" w14:textId="74E43119" w:rsidR="22E6DB4E" w:rsidRDefault="22E6DB4E" w:rsidP="00960947">
            <w:pPr>
              <w:spacing w:before="0"/>
              <w:jc w:val="center"/>
            </w:pPr>
            <w:r w:rsidRPr="22E6DB4E">
              <w:rPr>
                <w:rFonts w:ascii="Calibri" w:eastAsia="Calibri" w:hAnsi="Calibri" w:cs="Calibri"/>
                <w:color w:val="000000" w:themeColor="text1"/>
                <w:szCs w:val="22"/>
              </w:rPr>
              <w:t>Adequate care</w:t>
            </w:r>
          </w:p>
        </w:tc>
        <w:tc>
          <w:tcPr>
            <w:tcW w:w="1502" w:type="dxa"/>
            <w:vAlign w:val="center"/>
          </w:tcPr>
          <w:p w14:paraId="0B0822DB" w14:textId="6045945C"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142F3880" w14:textId="5529D008"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4CD4ACCE" w14:textId="6BB31295" w:rsidR="22E6DB4E" w:rsidRDefault="22E6DB4E" w:rsidP="00960947">
            <w:pPr>
              <w:spacing w:before="0"/>
              <w:jc w:val="center"/>
            </w:pPr>
            <w:r w:rsidRPr="22E6DB4E">
              <w:rPr>
                <w:rFonts w:ascii="Calibri" w:eastAsia="Calibri" w:hAnsi="Calibri" w:cs="Calibri"/>
                <w:color w:val="000000" w:themeColor="text1"/>
                <w:szCs w:val="22"/>
              </w:rPr>
              <w:t>Room for improvement in clinical care</w:t>
            </w:r>
          </w:p>
        </w:tc>
        <w:tc>
          <w:tcPr>
            <w:tcW w:w="1504" w:type="dxa"/>
            <w:vAlign w:val="center"/>
          </w:tcPr>
          <w:p w14:paraId="16A8A7D8" w14:textId="7BF475CA"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624AC5A8" w14:textId="77777777" w:rsidTr="00960947">
        <w:trPr>
          <w:trHeight w:val="300"/>
        </w:trPr>
        <w:tc>
          <w:tcPr>
            <w:tcW w:w="1502" w:type="dxa"/>
            <w:vAlign w:val="center"/>
          </w:tcPr>
          <w:p w14:paraId="1499F3D8" w14:textId="79597584" w:rsidR="22E6DB4E" w:rsidRDefault="22E6DB4E" w:rsidP="00960947">
            <w:pPr>
              <w:spacing w:before="0"/>
              <w:jc w:val="center"/>
            </w:pPr>
            <w:r w:rsidRPr="22E6DB4E">
              <w:rPr>
                <w:rFonts w:ascii="Calibri" w:eastAsia="Calibri" w:hAnsi="Calibri" w:cs="Calibri"/>
                <w:color w:val="000000" w:themeColor="text1"/>
                <w:szCs w:val="22"/>
              </w:rPr>
              <w:t>24/10/2024</w:t>
            </w:r>
          </w:p>
        </w:tc>
        <w:tc>
          <w:tcPr>
            <w:tcW w:w="1502" w:type="dxa"/>
            <w:vAlign w:val="center"/>
          </w:tcPr>
          <w:p w14:paraId="7167D47D" w14:textId="58D476D6" w:rsidR="22E6DB4E" w:rsidRDefault="22E6DB4E" w:rsidP="00960947">
            <w:pPr>
              <w:spacing w:before="0"/>
              <w:jc w:val="center"/>
            </w:pPr>
            <w:r w:rsidRPr="22E6DB4E">
              <w:rPr>
                <w:rFonts w:ascii="Calibri" w:eastAsia="Calibri" w:hAnsi="Calibri" w:cs="Calibri"/>
                <w:color w:val="000000" w:themeColor="text1"/>
                <w:szCs w:val="22"/>
              </w:rPr>
              <w:t>Adequate care</w:t>
            </w:r>
          </w:p>
        </w:tc>
        <w:tc>
          <w:tcPr>
            <w:tcW w:w="1502" w:type="dxa"/>
            <w:vAlign w:val="center"/>
          </w:tcPr>
          <w:p w14:paraId="076AF2CC" w14:textId="2008CBE3" w:rsidR="22E6DB4E" w:rsidRDefault="22E6DB4E" w:rsidP="00960947">
            <w:pPr>
              <w:spacing w:before="0"/>
              <w:jc w:val="center"/>
            </w:pPr>
            <w:r w:rsidRPr="22E6DB4E">
              <w:rPr>
                <w:rFonts w:ascii="Calibri" w:eastAsia="Calibri" w:hAnsi="Calibri" w:cs="Calibri"/>
                <w:color w:val="000000" w:themeColor="text1"/>
                <w:szCs w:val="22"/>
              </w:rPr>
              <w:t>Not Applicable</w:t>
            </w:r>
          </w:p>
        </w:tc>
        <w:tc>
          <w:tcPr>
            <w:tcW w:w="1502" w:type="dxa"/>
            <w:vAlign w:val="center"/>
          </w:tcPr>
          <w:p w14:paraId="2DB01131" w14:textId="2E0BA338"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0C332F01" w14:textId="7C1D7F50" w:rsidR="22E6DB4E" w:rsidRDefault="22E6DB4E" w:rsidP="00960947">
            <w:pPr>
              <w:spacing w:before="0"/>
              <w:jc w:val="center"/>
            </w:pPr>
            <w:r w:rsidRPr="22E6DB4E">
              <w:rPr>
                <w:rFonts w:ascii="Calibri" w:eastAsia="Calibri" w:hAnsi="Calibri" w:cs="Calibri"/>
                <w:color w:val="000000" w:themeColor="text1"/>
                <w:szCs w:val="22"/>
              </w:rPr>
              <w:t>Room for improvement in organisational care</w:t>
            </w:r>
          </w:p>
        </w:tc>
        <w:tc>
          <w:tcPr>
            <w:tcW w:w="1504" w:type="dxa"/>
            <w:vAlign w:val="center"/>
          </w:tcPr>
          <w:p w14:paraId="0638532C" w14:textId="495E25DC" w:rsidR="22E6DB4E" w:rsidRDefault="22E6DB4E" w:rsidP="00960947">
            <w:pPr>
              <w:spacing w:before="0"/>
              <w:jc w:val="center"/>
            </w:pPr>
            <w:r w:rsidRPr="22E6DB4E">
              <w:rPr>
                <w:rFonts w:ascii="Calibri" w:eastAsia="Calibri" w:hAnsi="Calibri" w:cs="Calibri"/>
                <w:color w:val="000000" w:themeColor="text1"/>
                <w:szCs w:val="22"/>
              </w:rPr>
              <w:t>Adequate care</w:t>
            </w:r>
          </w:p>
        </w:tc>
      </w:tr>
      <w:tr w:rsidR="22E6DB4E" w14:paraId="59833C8B" w14:textId="77777777" w:rsidTr="00960947">
        <w:trPr>
          <w:trHeight w:val="300"/>
        </w:trPr>
        <w:tc>
          <w:tcPr>
            <w:tcW w:w="1502" w:type="dxa"/>
            <w:vAlign w:val="center"/>
          </w:tcPr>
          <w:p w14:paraId="2F7546B4" w14:textId="0264C32C" w:rsidR="22E6DB4E" w:rsidRDefault="22E6DB4E" w:rsidP="00960947">
            <w:pPr>
              <w:spacing w:before="0"/>
              <w:jc w:val="center"/>
            </w:pPr>
            <w:r w:rsidRPr="22E6DB4E">
              <w:rPr>
                <w:rFonts w:ascii="Calibri" w:eastAsia="Calibri" w:hAnsi="Calibri" w:cs="Calibri"/>
                <w:color w:val="000000" w:themeColor="text1"/>
                <w:szCs w:val="22"/>
              </w:rPr>
              <w:t>31/10/2024</w:t>
            </w:r>
          </w:p>
        </w:tc>
        <w:tc>
          <w:tcPr>
            <w:tcW w:w="1502" w:type="dxa"/>
            <w:vAlign w:val="center"/>
          </w:tcPr>
          <w:p w14:paraId="2EE3C0FA" w14:textId="3DF8FEEB"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18B2A1E7" w14:textId="669C029D" w:rsidR="22E6DB4E" w:rsidRDefault="22E6DB4E" w:rsidP="00960947">
            <w:pPr>
              <w:spacing w:before="0"/>
              <w:jc w:val="center"/>
            </w:pPr>
            <w:r w:rsidRPr="22E6DB4E">
              <w:rPr>
                <w:rFonts w:ascii="Calibri" w:eastAsia="Calibri" w:hAnsi="Calibri" w:cs="Calibri"/>
                <w:color w:val="000000" w:themeColor="text1"/>
                <w:szCs w:val="22"/>
              </w:rPr>
              <w:t>Not Applicable</w:t>
            </w:r>
          </w:p>
        </w:tc>
        <w:tc>
          <w:tcPr>
            <w:tcW w:w="1502" w:type="dxa"/>
            <w:vAlign w:val="center"/>
          </w:tcPr>
          <w:p w14:paraId="5B73200E" w14:textId="7DF9FA4C"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4FFD1A09" w14:textId="3286F6C5" w:rsidR="22E6DB4E" w:rsidRDefault="22E6DB4E" w:rsidP="00960947">
            <w:pPr>
              <w:spacing w:before="0"/>
              <w:jc w:val="center"/>
            </w:pPr>
            <w:r w:rsidRPr="22E6DB4E">
              <w:rPr>
                <w:rFonts w:ascii="Calibri" w:eastAsia="Calibri" w:hAnsi="Calibri" w:cs="Calibri"/>
                <w:color w:val="000000" w:themeColor="text1"/>
                <w:szCs w:val="22"/>
              </w:rPr>
              <w:t>Good practice</w:t>
            </w:r>
          </w:p>
        </w:tc>
        <w:tc>
          <w:tcPr>
            <w:tcW w:w="1504" w:type="dxa"/>
            <w:vAlign w:val="center"/>
          </w:tcPr>
          <w:p w14:paraId="4D4B23F6" w14:textId="6A4ED5EB" w:rsidR="22E6DB4E" w:rsidRDefault="22E6DB4E" w:rsidP="00960947">
            <w:pPr>
              <w:spacing w:before="0"/>
              <w:jc w:val="center"/>
            </w:pPr>
            <w:r w:rsidRPr="22E6DB4E">
              <w:rPr>
                <w:rFonts w:ascii="Calibri" w:eastAsia="Calibri" w:hAnsi="Calibri" w:cs="Calibri"/>
                <w:color w:val="000000" w:themeColor="text1"/>
                <w:szCs w:val="22"/>
              </w:rPr>
              <w:t>Excellent care</w:t>
            </w:r>
          </w:p>
        </w:tc>
      </w:tr>
      <w:tr w:rsidR="22E6DB4E" w14:paraId="1DD90508" w14:textId="77777777" w:rsidTr="00960947">
        <w:trPr>
          <w:trHeight w:val="300"/>
        </w:trPr>
        <w:tc>
          <w:tcPr>
            <w:tcW w:w="1502" w:type="dxa"/>
            <w:vAlign w:val="center"/>
          </w:tcPr>
          <w:p w14:paraId="671E68DA" w14:textId="149C3FB1" w:rsidR="22E6DB4E" w:rsidRDefault="22E6DB4E" w:rsidP="00960947">
            <w:pPr>
              <w:spacing w:before="0"/>
              <w:jc w:val="center"/>
            </w:pPr>
            <w:r w:rsidRPr="22E6DB4E">
              <w:rPr>
                <w:rFonts w:ascii="Calibri" w:eastAsia="Calibri" w:hAnsi="Calibri" w:cs="Calibri"/>
                <w:color w:val="000000" w:themeColor="text1"/>
                <w:szCs w:val="22"/>
              </w:rPr>
              <w:t>10/10/2024</w:t>
            </w:r>
          </w:p>
        </w:tc>
        <w:tc>
          <w:tcPr>
            <w:tcW w:w="1502" w:type="dxa"/>
            <w:vAlign w:val="center"/>
          </w:tcPr>
          <w:p w14:paraId="0D68EF3E" w14:textId="11016307" w:rsidR="22E6DB4E" w:rsidRDefault="22E6DB4E" w:rsidP="00960947">
            <w:pPr>
              <w:spacing w:before="0"/>
              <w:jc w:val="center"/>
            </w:pPr>
            <w:r w:rsidRPr="22E6DB4E">
              <w:rPr>
                <w:rFonts w:ascii="Calibri" w:eastAsia="Calibri" w:hAnsi="Calibri" w:cs="Calibri"/>
                <w:color w:val="000000" w:themeColor="text1"/>
                <w:szCs w:val="22"/>
              </w:rPr>
              <w:t>Adequate care</w:t>
            </w:r>
          </w:p>
        </w:tc>
        <w:tc>
          <w:tcPr>
            <w:tcW w:w="1502" w:type="dxa"/>
            <w:vAlign w:val="center"/>
          </w:tcPr>
          <w:p w14:paraId="18918795" w14:textId="1BC39CC2" w:rsidR="22E6DB4E" w:rsidRDefault="22E6DB4E" w:rsidP="00960947">
            <w:pPr>
              <w:spacing w:before="0"/>
              <w:jc w:val="center"/>
            </w:pPr>
            <w:r w:rsidRPr="22E6DB4E">
              <w:rPr>
                <w:rFonts w:ascii="Calibri" w:eastAsia="Calibri" w:hAnsi="Calibri" w:cs="Calibri"/>
                <w:color w:val="000000" w:themeColor="text1"/>
                <w:szCs w:val="22"/>
              </w:rPr>
              <w:t>Not Applicable</w:t>
            </w:r>
          </w:p>
        </w:tc>
        <w:tc>
          <w:tcPr>
            <w:tcW w:w="1502" w:type="dxa"/>
            <w:vAlign w:val="center"/>
          </w:tcPr>
          <w:p w14:paraId="7167FDD3" w14:textId="630C1D89"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5659B42E" w14:textId="0E5C1C83" w:rsidR="22E6DB4E" w:rsidRDefault="22E6DB4E" w:rsidP="00960947">
            <w:pPr>
              <w:spacing w:before="0"/>
              <w:jc w:val="center"/>
            </w:pPr>
            <w:r w:rsidRPr="22E6DB4E">
              <w:rPr>
                <w:rFonts w:ascii="Calibri" w:eastAsia="Calibri" w:hAnsi="Calibri" w:cs="Calibri"/>
                <w:color w:val="000000" w:themeColor="text1"/>
                <w:szCs w:val="22"/>
              </w:rPr>
              <w:t>Room for improvement in clinical and organisational care</w:t>
            </w:r>
          </w:p>
        </w:tc>
        <w:tc>
          <w:tcPr>
            <w:tcW w:w="1504" w:type="dxa"/>
            <w:vAlign w:val="center"/>
          </w:tcPr>
          <w:p w14:paraId="7B850566" w14:textId="6CF0EB8F"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7CF1134B" w14:textId="77777777" w:rsidTr="00960947">
        <w:trPr>
          <w:trHeight w:val="300"/>
        </w:trPr>
        <w:tc>
          <w:tcPr>
            <w:tcW w:w="1502" w:type="dxa"/>
            <w:vAlign w:val="center"/>
          </w:tcPr>
          <w:p w14:paraId="3DBBC1D9" w14:textId="710C80FE" w:rsidR="22E6DB4E" w:rsidRDefault="22E6DB4E" w:rsidP="00960947">
            <w:pPr>
              <w:spacing w:before="0"/>
              <w:jc w:val="center"/>
            </w:pPr>
            <w:r w:rsidRPr="22E6DB4E">
              <w:rPr>
                <w:rFonts w:ascii="Calibri" w:eastAsia="Calibri" w:hAnsi="Calibri" w:cs="Calibri"/>
                <w:color w:val="000000" w:themeColor="text1"/>
                <w:szCs w:val="22"/>
              </w:rPr>
              <w:t>14/11/2024</w:t>
            </w:r>
          </w:p>
        </w:tc>
        <w:tc>
          <w:tcPr>
            <w:tcW w:w="1502" w:type="dxa"/>
            <w:vAlign w:val="center"/>
          </w:tcPr>
          <w:p w14:paraId="4A8E021B" w14:textId="2ADF9498"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334ED711" w14:textId="24F45AF1"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53F83D98" w14:textId="5462E234"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5D3C3C78" w14:textId="6A3C8427" w:rsidR="22E6DB4E" w:rsidRDefault="22E6DB4E" w:rsidP="00960947">
            <w:pPr>
              <w:spacing w:before="0"/>
              <w:jc w:val="center"/>
            </w:pPr>
            <w:r w:rsidRPr="22E6DB4E">
              <w:rPr>
                <w:rFonts w:ascii="Calibri" w:eastAsia="Calibri" w:hAnsi="Calibri" w:cs="Calibri"/>
                <w:color w:val="000000" w:themeColor="text1"/>
                <w:szCs w:val="22"/>
              </w:rPr>
              <w:t>Room for improvement in organisational care</w:t>
            </w:r>
          </w:p>
        </w:tc>
        <w:tc>
          <w:tcPr>
            <w:tcW w:w="1504" w:type="dxa"/>
            <w:vAlign w:val="center"/>
          </w:tcPr>
          <w:p w14:paraId="5A6C4E25" w14:textId="45751C23"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4F545B18" w14:textId="77777777" w:rsidTr="00960947">
        <w:trPr>
          <w:trHeight w:val="300"/>
        </w:trPr>
        <w:tc>
          <w:tcPr>
            <w:tcW w:w="1502" w:type="dxa"/>
            <w:vAlign w:val="center"/>
          </w:tcPr>
          <w:p w14:paraId="483A3D2E" w14:textId="21399B25" w:rsidR="22E6DB4E" w:rsidRDefault="22E6DB4E" w:rsidP="00960947">
            <w:pPr>
              <w:spacing w:before="0"/>
              <w:jc w:val="center"/>
            </w:pPr>
            <w:r w:rsidRPr="22E6DB4E">
              <w:rPr>
                <w:rFonts w:ascii="Calibri" w:eastAsia="Calibri" w:hAnsi="Calibri" w:cs="Calibri"/>
                <w:color w:val="000000" w:themeColor="text1"/>
                <w:szCs w:val="22"/>
              </w:rPr>
              <w:t>12/06/2024</w:t>
            </w:r>
          </w:p>
        </w:tc>
        <w:tc>
          <w:tcPr>
            <w:tcW w:w="1502" w:type="dxa"/>
            <w:vAlign w:val="center"/>
          </w:tcPr>
          <w:p w14:paraId="7AFDD8D1" w14:textId="368E3ACE" w:rsidR="22E6DB4E" w:rsidRDefault="22E6DB4E" w:rsidP="00960947">
            <w:pPr>
              <w:spacing w:before="0"/>
              <w:jc w:val="center"/>
            </w:pPr>
            <w:r w:rsidRPr="22E6DB4E">
              <w:rPr>
                <w:rFonts w:ascii="Calibri" w:eastAsia="Calibri" w:hAnsi="Calibri" w:cs="Calibri"/>
                <w:color w:val="000000" w:themeColor="text1"/>
                <w:szCs w:val="22"/>
              </w:rPr>
              <w:t>Adequate care</w:t>
            </w:r>
          </w:p>
        </w:tc>
        <w:tc>
          <w:tcPr>
            <w:tcW w:w="1502" w:type="dxa"/>
            <w:vAlign w:val="center"/>
          </w:tcPr>
          <w:p w14:paraId="1659724A" w14:textId="36098700" w:rsidR="22E6DB4E" w:rsidRDefault="22E6DB4E" w:rsidP="00960947">
            <w:pPr>
              <w:spacing w:before="0"/>
              <w:jc w:val="center"/>
            </w:pPr>
            <w:r w:rsidRPr="22E6DB4E">
              <w:rPr>
                <w:rFonts w:ascii="Calibri" w:eastAsia="Calibri" w:hAnsi="Calibri" w:cs="Calibri"/>
                <w:color w:val="000000" w:themeColor="text1"/>
                <w:szCs w:val="22"/>
              </w:rPr>
              <w:t>Adequate care</w:t>
            </w:r>
          </w:p>
        </w:tc>
        <w:tc>
          <w:tcPr>
            <w:tcW w:w="1502" w:type="dxa"/>
            <w:vAlign w:val="center"/>
          </w:tcPr>
          <w:p w14:paraId="1D739299" w14:textId="3FE52565" w:rsidR="22E6DB4E" w:rsidRDefault="22E6DB4E" w:rsidP="00960947">
            <w:pPr>
              <w:spacing w:before="0"/>
              <w:jc w:val="center"/>
            </w:pPr>
            <w:r w:rsidRPr="22E6DB4E">
              <w:rPr>
                <w:rFonts w:ascii="Calibri" w:eastAsia="Calibri" w:hAnsi="Calibri" w:cs="Calibri"/>
                <w:color w:val="000000" w:themeColor="text1"/>
                <w:szCs w:val="22"/>
              </w:rPr>
              <w:t>Slight evidence of avoidability</w:t>
            </w:r>
          </w:p>
        </w:tc>
        <w:tc>
          <w:tcPr>
            <w:tcW w:w="1500" w:type="dxa"/>
            <w:vAlign w:val="center"/>
          </w:tcPr>
          <w:p w14:paraId="743F67EF" w14:textId="70A2C8F9" w:rsidR="22E6DB4E" w:rsidRDefault="22E6DB4E" w:rsidP="00960947">
            <w:pPr>
              <w:spacing w:before="0"/>
              <w:jc w:val="center"/>
            </w:pPr>
            <w:r w:rsidRPr="22E6DB4E">
              <w:rPr>
                <w:rFonts w:ascii="Calibri" w:eastAsia="Calibri" w:hAnsi="Calibri" w:cs="Calibri"/>
                <w:color w:val="000000" w:themeColor="text1"/>
                <w:szCs w:val="22"/>
              </w:rPr>
              <w:t>Room for improvement in organisational care</w:t>
            </w:r>
          </w:p>
        </w:tc>
        <w:tc>
          <w:tcPr>
            <w:tcW w:w="1504" w:type="dxa"/>
            <w:vAlign w:val="center"/>
          </w:tcPr>
          <w:p w14:paraId="158CB3FC" w14:textId="4FBFFEC2" w:rsidR="22E6DB4E" w:rsidRDefault="22E6DB4E" w:rsidP="00960947">
            <w:pPr>
              <w:spacing w:before="0"/>
              <w:jc w:val="center"/>
            </w:pPr>
            <w:r w:rsidRPr="22E6DB4E">
              <w:rPr>
                <w:rFonts w:ascii="Calibri" w:eastAsia="Calibri" w:hAnsi="Calibri" w:cs="Calibri"/>
                <w:color w:val="000000" w:themeColor="text1"/>
                <w:szCs w:val="22"/>
              </w:rPr>
              <w:t>Adequate care</w:t>
            </w:r>
          </w:p>
        </w:tc>
      </w:tr>
      <w:tr w:rsidR="22E6DB4E" w14:paraId="271CE7CF" w14:textId="77777777" w:rsidTr="00960947">
        <w:trPr>
          <w:trHeight w:val="300"/>
        </w:trPr>
        <w:tc>
          <w:tcPr>
            <w:tcW w:w="1502" w:type="dxa"/>
            <w:vAlign w:val="center"/>
          </w:tcPr>
          <w:p w14:paraId="2172B6FF" w14:textId="4D696B11" w:rsidR="22E6DB4E" w:rsidRDefault="22E6DB4E" w:rsidP="00960947">
            <w:pPr>
              <w:spacing w:before="0"/>
              <w:jc w:val="center"/>
            </w:pPr>
            <w:r w:rsidRPr="22E6DB4E">
              <w:rPr>
                <w:rFonts w:ascii="Calibri" w:eastAsia="Calibri" w:hAnsi="Calibri" w:cs="Calibri"/>
                <w:color w:val="000000" w:themeColor="text1"/>
                <w:szCs w:val="22"/>
              </w:rPr>
              <w:t>19/11/2024</w:t>
            </w:r>
          </w:p>
        </w:tc>
        <w:tc>
          <w:tcPr>
            <w:tcW w:w="1502" w:type="dxa"/>
            <w:vAlign w:val="center"/>
          </w:tcPr>
          <w:p w14:paraId="1F7290FE" w14:textId="2E7ABE22"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00F33369" w14:textId="061693AA"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7769B7F0" w14:textId="448B256C"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41BA653D" w14:textId="11B19D17" w:rsidR="22E6DB4E" w:rsidRDefault="22E6DB4E" w:rsidP="00960947">
            <w:pPr>
              <w:spacing w:before="0"/>
              <w:jc w:val="center"/>
            </w:pPr>
            <w:r w:rsidRPr="22E6DB4E">
              <w:rPr>
                <w:rFonts w:ascii="Calibri" w:eastAsia="Calibri" w:hAnsi="Calibri" w:cs="Calibri"/>
                <w:color w:val="000000" w:themeColor="text1"/>
                <w:szCs w:val="22"/>
              </w:rPr>
              <w:t>Good practice</w:t>
            </w:r>
          </w:p>
        </w:tc>
        <w:tc>
          <w:tcPr>
            <w:tcW w:w="1504" w:type="dxa"/>
            <w:vAlign w:val="center"/>
          </w:tcPr>
          <w:p w14:paraId="12E0E3F8" w14:textId="6DE63569"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328A091A" w14:textId="77777777" w:rsidTr="00960947">
        <w:trPr>
          <w:trHeight w:val="300"/>
        </w:trPr>
        <w:tc>
          <w:tcPr>
            <w:tcW w:w="1502" w:type="dxa"/>
            <w:vAlign w:val="center"/>
          </w:tcPr>
          <w:p w14:paraId="6AAE0903" w14:textId="0B98AD61" w:rsidR="22E6DB4E" w:rsidRDefault="22E6DB4E" w:rsidP="00960947">
            <w:pPr>
              <w:spacing w:before="0"/>
              <w:jc w:val="center"/>
            </w:pPr>
            <w:r w:rsidRPr="22E6DB4E">
              <w:rPr>
                <w:rFonts w:ascii="Calibri" w:eastAsia="Calibri" w:hAnsi="Calibri" w:cs="Calibri"/>
                <w:color w:val="000000" w:themeColor="text1"/>
                <w:szCs w:val="22"/>
              </w:rPr>
              <w:t>31/10/2024</w:t>
            </w:r>
          </w:p>
        </w:tc>
        <w:tc>
          <w:tcPr>
            <w:tcW w:w="1502" w:type="dxa"/>
            <w:vAlign w:val="center"/>
          </w:tcPr>
          <w:p w14:paraId="452FF5B8" w14:textId="4C77B2D3"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17126E42" w14:textId="3D9CDCE5"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1AE3469B" w14:textId="4A664A49"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4B194618" w14:textId="3144F41E" w:rsidR="22E6DB4E" w:rsidRDefault="22E6DB4E" w:rsidP="00960947">
            <w:pPr>
              <w:spacing w:before="0"/>
              <w:jc w:val="center"/>
            </w:pPr>
            <w:r w:rsidRPr="22E6DB4E">
              <w:rPr>
                <w:rFonts w:ascii="Calibri" w:eastAsia="Calibri" w:hAnsi="Calibri" w:cs="Calibri"/>
                <w:color w:val="000000" w:themeColor="text1"/>
                <w:szCs w:val="22"/>
              </w:rPr>
              <w:t>Good practice</w:t>
            </w:r>
          </w:p>
        </w:tc>
        <w:tc>
          <w:tcPr>
            <w:tcW w:w="1504" w:type="dxa"/>
            <w:vAlign w:val="center"/>
          </w:tcPr>
          <w:p w14:paraId="3CDE0939" w14:textId="5441A1C5"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7D794901" w14:textId="77777777" w:rsidTr="00960947">
        <w:trPr>
          <w:trHeight w:val="300"/>
        </w:trPr>
        <w:tc>
          <w:tcPr>
            <w:tcW w:w="1502" w:type="dxa"/>
            <w:vAlign w:val="center"/>
          </w:tcPr>
          <w:p w14:paraId="5BB3F999" w14:textId="5DD3A2AE" w:rsidR="22E6DB4E" w:rsidRDefault="22E6DB4E" w:rsidP="00960947">
            <w:pPr>
              <w:spacing w:before="0"/>
              <w:jc w:val="center"/>
            </w:pPr>
            <w:r w:rsidRPr="22E6DB4E">
              <w:rPr>
                <w:rFonts w:ascii="Calibri" w:eastAsia="Calibri" w:hAnsi="Calibri" w:cs="Calibri"/>
                <w:color w:val="000000" w:themeColor="text1"/>
                <w:szCs w:val="22"/>
              </w:rPr>
              <w:t>29/11/2024</w:t>
            </w:r>
          </w:p>
        </w:tc>
        <w:tc>
          <w:tcPr>
            <w:tcW w:w="1502" w:type="dxa"/>
            <w:vAlign w:val="center"/>
          </w:tcPr>
          <w:p w14:paraId="5AE42AE1" w14:textId="4D2FD111"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5A3331FF" w14:textId="72D49121"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6D95A390" w14:textId="52EFC287"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1EC43F61" w14:textId="4AAA0217" w:rsidR="22E6DB4E" w:rsidRDefault="22E6DB4E" w:rsidP="00960947">
            <w:pPr>
              <w:spacing w:before="0"/>
              <w:jc w:val="center"/>
            </w:pPr>
            <w:r w:rsidRPr="22E6DB4E">
              <w:rPr>
                <w:rFonts w:ascii="Calibri" w:eastAsia="Calibri" w:hAnsi="Calibri" w:cs="Calibri"/>
                <w:color w:val="000000" w:themeColor="text1"/>
                <w:szCs w:val="22"/>
              </w:rPr>
              <w:t>Good practice</w:t>
            </w:r>
          </w:p>
        </w:tc>
        <w:tc>
          <w:tcPr>
            <w:tcW w:w="1504" w:type="dxa"/>
            <w:vAlign w:val="center"/>
          </w:tcPr>
          <w:p w14:paraId="1EBA7AA7" w14:textId="257A684D"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76B67BEA" w14:textId="77777777" w:rsidTr="00960947">
        <w:trPr>
          <w:trHeight w:val="300"/>
        </w:trPr>
        <w:tc>
          <w:tcPr>
            <w:tcW w:w="1502" w:type="dxa"/>
            <w:vAlign w:val="center"/>
          </w:tcPr>
          <w:p w14:paraId="217511C1" w14:textId="7BF73521" w:rsidR="22E6DB4E" w:rsidRDefault="22E6DB4E" w:rsidP="00960947">
            <w:pPr>
              <w:spacing w:before="0"/>
              <w:jc w:val="center"/>
            </w:pPr>
            <w:r w:rsidRPr="22E6DB4E">
              <w:rPr>
                <w:rFonts w:ascii="Calibri" w:eastAsia="Calibri" w:hAnsi="Calibri" w:cs="Calibri"/>
                <w:color w:val="000000" w:themeColor="text1"/>
                <w:szCs w:val="22"/>
              </w:rPr>
              <w:t>26/11/2024</w:t>
            </w:r>
          </w:p>
        </w:tc>
        <w:tc>
          <w:tcPr>
            <w:tcW w:w="1502" w:type="dxa"/>
            <w:vAlign w:val="center"/>
          </w:tcPr>
          <w:p w14:paraId="7E4CF368" w14:textId="1115B984"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16C1CEC6" w14:textId="4250508A"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6578F08D" w14:textId="35C39D61"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14EDB20F" w14:textId="4E933A7B" w:rsidR="22E6DB4E" w:rsidRDefault="22E6DB4E" w:rsidP="00960947">
            <w:pPr>
              <w:spacing w:before="0"/>
              <w:jc w:val="center"/>
            </w:pPr>
            <w:r w:rsidRPr="22E6DB4E">
              <w:rPr>
                <w:rFonts w:ascii="Calibri" w:eastAsia="Calibri" w:hAnsi="Calibri" w:cs="Calibri"/>
                <w:color w:val="000000" w:themeColor="text1"/>
                <w:szCs w:val="22"/>
              </w:rPr>
              <w:t>Room for improvement in organisational care</w:t>
            </w:r>
          </w:p>
        </w:tc>
        <w:tc>
          <w:tcPr>
            <w:tcW w:w="1504" w:type="dxa"/>
            <w:vAlign w:val="center"/>
          </w:tcPr>
          <w:p w14:paraId="67EC2D56" w14:textId="32B62E4B"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148F552B" w14:textId="77777777" w:rsidTr="00960947">
        <w:trPr>
          <w:trHeight w:val="300"/>
        </w:trPr>
        <w:tc>
          <w:tcPr>
            <w:tcW w:w="1502" w:type="dxa"/>
            <w:vAlign w:val="center"/>
          </w:tcPr>
          <w:p w14:paraId="2DCEE1A8" w14:textId="08E61F7C" w:rsidR="22E6DB4E" w:rsidRDefault="22E6DB4E" w:rsidP="00960947">
            <w:pPr>
              <w:spacing w:before="0"/>
              <w:jc w:val="center"/>
            </w:pPr>
            <w:r w:rsidRPr="22E6DB4E">
              <w:rPr>
                <w:rFonts w:ascii="Calibri" w:eastAsia="Calibri" w:hAnsi="Calibri" w:cs="Calibri"/>
                <w:color w:val="000000" w:themeColor="text1"/>
                <w:szCs w:val="22"/>
              </w:rPr>
              <w:t>30/11/2024</w:t>
            </w:r>
          </w:p>
        </w:tc>
        <w:tc>
          <w:tcPr>
            <w:tcW w:w="1502" w:type="dxa"/>
            <w:vAlign w:val="center"/>
          </w:tcPr>
          <w:p w14:paraId="5B79E4B9" w14:textId="0D613279"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4AFDE8B6" w14:textId="259468A5"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4B2A3E09" w14:textId="616DEE72"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0ADE8118" w14:textId="42325219" w:rsidR="22E6DB4E" w:rsidRDefault="22E6DB4E" w:rsidP="00960947">
            <w:pPr>
              <w:spacing w:before="0"/>
              <w:jc w:val="center"/>
            </w:pPr>
            <w:r w:rsidRPr="22E6DB4E">
              <w:rPr>
                <w:rFonts w:ascii="Calibri" w:eastAsia="Calibri" w:hAnsi="Calibri" w:cs="Calibri"/>
                <w:color w:val="000000" w:themeColor="text1"/>
                <w:szCs w:val="22"/>
              </w:rPr>
              <w:t>Good practice</w:t>
            </w:r>
          </w:p>
        </w:tc>
        <w:tc>
          <w:tcPr>
            <w:tcW w:w="1504" w:type="dxa"/>
            <w:vAlign w:val="center"/>
          </w:tcPr>
          <w:p w14:paraId="7DB1A20D" w14:textId="78B8B170"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3B3DA4B2" w14:textId="77777777" w:rsidTr="00960947">
        <w:trPr>
          <w:trHeight w:val="300"/>
        </w:trPr>
        <w:tc>
          <w:tcPr>
            <w:tcW w:w="1502" w:type="dxa"/>
            <w:vAlign w:val="center"/>
          </w:tcPr>
          <w:p w14:paraId="17B461E8" w14:textId="578A6749" w:rsidR="22E6DB4E" w:rsidRDefault="22E6DB4E" w:rsidP="00960947">
            <w:pPr>
              <w:spacing w:before="0"/>
              <w:jc w:val="center"/>
            </w:pPr>
            <w:r w:rsidRPr="22E6DB4E">
              <w:rPr>
                <w:rFonts w:ascii="Calibri" w:eastAsia="Calibri" w:hAnsi="Calibri" w:cs="Calibri"/>
                <w:color w:val="000000" w:themeColor="text1"/>
                <w:szCs w:val="22"/>
              </w:rPr>
              <w:t>18/09/2024</w:t>
            </w:r>
          </w:p>
        </w:tc>
        <w:tc>
          <w:tcPr>
            <w:tcW w:w="1502" w:type="dxa"/>
            <w:vAlign w:val="center"/>
          </w:tcPr>
          <w:p w14:paraId="7B056010" w14:textId="5FC4458C" w:rsidR="22E6DB4E" w:rsidRDefault="22E6DB4E" w:rsidP="00960947">
            <w:pPr>
              <w:spacing w:before="0"/>
              <w:jc w:val="center"/>
            </w:pPr>
            <w:r w:rsidRPr="22E6DB4E">
              <w:rPr>
                <w:rFonts w:ascii="Calibri" w:eastAsia="Calibri" w:hAnsi="Calibri" w:cs="Calibri"/>
                <w:color w:val="000000" w:themeColor="text1"/>
                <w:szCs w:val="22"/>
              </w:rPr>
              <w:t>Poor care</w:t>
            </w:r>
          </w:p>
        </w:tc>
        <w:tc>
          <w:tcPr>
            <w:tcW w:w="1502" w:type="dxa"/>
            <w:vAlign w:val="center"/>
          </w:tcPr>
          <w:p w14:paraId="5EAA2402" w14:textId="742C031B" w:rsidR="22E6DB4E" w:rsidRDefault="22E6DB4E" w:rsidP="00960947">
            <w:pPr>
              <w:spacing w:before="0"/>
              <w:jc w:val="center"/>
            </w:pPr>
            <w:r w:rsidRPr="22E6DB4E">
              <w:rPr>
                <w:rFonts w:ascii="Calibri" w:eastAsia="Calibri" w:hAnsi="Calibri" w:cs="Calibri"/>
                <w:color w:val="000000" w:themeColor="text1"/>
                <w:szCs w:val="22"/>
              </w:rPr>
              <w:t>Excellent care</w:t>
            </w:r>
          </w:p>
        </w:tc>
        <w:tc>
          <w:tcPr>
            <w:tcW w:w="1502" w:type="dxa"/>
            <w:vAlign w:val="center"/>
          </w:tcPr>
          <w:p w14:paraId="1BB88F6F" w14:textId="5652A70A" w:rsidR="22E6DB4E" w:rsidRDefault="22E6DB4E" w:rsidP="00960947">
            <w:pPr>
              <w:spacing w:before="0"/>
              <w:jc w:val="center"/>
            </w:pPr>
            <w:r w:rsidRPr="22E6DB4E">
              <w:rPr>
                <w:rFonts w:ascii="Calibri" w:eastAsia="Calibri" w:hAnsi="Calibri" w:cs="Calibri"/>
                <w:color w:val="000000" w:themeColor="text1"/>
                <w:szCs w:val="22"/>
              </w:rPr>
              <w:t>Slight evidence of avoidability</w:t>
            </w:r>
          </w:p>
        </w:tc>
        <w:tc>
          <w:tcPr>
            <w:tcW w:w="1500" w:type="dxa"/>
            <w:vAlign w:val="center"/>
          </w:tcPr>
          <w:p w14:paraId="1728A947" w14:textId="55104C2E" w:rsidR="22E6DB4E" w:rsidRDefault="22E6DB4E" w:rsidP="00960947">
            <w:pPr>
              <w:spacing w:before="0"/>
              <w:jc w:val="center"/>
            </w:pPr>
            <w:r w:rsidRPr="22E6DB4E">
              <w:rPr>
                <w:rFonts w:ascii="Calibri" w:eastAsia="Calibri" w:hAnsi="Calibri" w:cs="Calibri"/>
                <w:color w:val="000000" w:themeColor="text1"/>
                <w:szCs w:val="22"/>
              </w:rPr>
              <w:t>Good practice</w:t>
            </w:r>
          </w:p>
        </w:tc>
        <w:tc>
          <w:tcPr>
            <w:tcW w:w="1504" w:type="dxa"/>
            <w:vAlign w:val="center"/>
          </w:tcPr>
          <w:p w14:paraId="7EA062D9" w14:textId="3DFE2F15"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29DCBA85" w14:textId="77777777" w:rsidTr="00960947">
        <w:trPr>
          <w:trHeight w:val="300"/>
        </w:trPr>
        <w:tc>
          <w:tcPr>
            <w:tcW w:w="1502" w:type="dxa"/>
            <w:vAlign w:val="center"/>
          </w:tcPr>
          <w:p w14:paraId="0C8CF552" w14:textId="57762BD4" w:rsidR="22E6DB4E" w:rsidRDefault="22E6DB4E" w:rsidP="00960947">
            <w:pPr>
              <w:spacing w:before="0"/>
              <w:jc w:val="center"/>
            </w:pPr>
            <w:r w:rsidRPr="22E6DB4E">
              <w:rPr>
                <w:rFonts w:ascii="Calibri" w:eastAsia="Calibri" w:hAnsi="Calibri" w:cs="Calibri"/>
                <w:color w:val="000000" w:themeColor="text1"/>
                <w:szCs w:val="22"/>
              </w:rPr>
              <w:t>03/09/2024</w:t>
            </w:r>
          </w:p>
        </w:tc>
        <w:tc>
          <w:tcPr>
            <w:tcW w:w="1502" w:type="dxa"/>
            <w:vAlign w:val="center"/>
          </w:tcPr>
          <w:p w14:paraId="7DAC7662" w14:textId="063E8653" w:rsidR="22E6DB4E" w:rsidRDefault="22E6DB4E" w:rsidP="00960947">
            <w:pPr>
              <w:spacing w:before="0"/>
              <w:jc w:val="center"/>
            </w:pPr>
            <w:r w:rsidRPr="22E6DB4E">
              <w:rPr>
                <w:rFonts w:ascii="Calibri" w:eastAsia="Calibri" w:hAnsi="Calibri" w:cs="Calibri"/>
                <w:color w:val="000000" w:themeColor="text1"/>
                <w:szCs w:val="22"/>
              </w:rPr>
              <w:t>Excellent care</w:t>
            </w:r>
          </w:p>
        </w:tc>
        <w:tc>
          <w:tcPr>
            <w:tcW w:w="1502" w:type="dxa"/>
            <w:vAlign w:val="center"/>
          </w:tcPr>
          <w:p w14:paraId="07C13FA1" w14:textId="5F853658" w:rsidR="22E6DB4E" w:rsidRDefault="22E6DB4E" w:rsidP="00960947">
            <w:pPr>
              <w:spacing w:before="0"/>
              <w:jc w:val="center"/>
            </w:pPr>
            <w:r w:rsidRPr="22E6DB4E">
              <w:rPr>
                <w:rFonts w:ascii="Calibri" w:eastAsia="Calibri" w:hAnsi="Calibri" w:cs="Calibri"/>
                <w:color w:val="000000" w:themeColor="text1"/>
                <w:szCs w:val="22"/>
              </w:rPr>
              <w:t>Good care</w:t>
            </w:r>
          </w:p>
        </w:tc>
        <w:tc>
          <w:tcPr>
            <w:tcW w:w="1502" w:type="dxa"/>
            <w:vAlign w:val="center"/>
          </w:tcPr>
          <w:p w14:paraId="385F2ABB" w14:textId="1635F472" w:rsidR="22E6DB4E" w:rsidRDefault="22E6DB4E" w:rsidP="00960947">
            <w:pPr>
              <w:spacing w:before="0"/>
              <w:jc w:val="center"/>
            </w:pPr>
            <w:r w:rsidRPr="22E6DB4E">
              <w:rPr>
                <w:rFonts w:ascii="Calibri" w:eastAsia="Calibri" w:hAnsi="Calibri" w:cs="Calibri"/>
                <w:color w:val="000000" w:themeColor="text1"/>
                <w:szCs w:val="22"/>
              </w:rPr>
              <w:t>Definitely not avoidable</w:t>
            </w:r>
          </w:p>
        </w:tc>
        <w:tc>
          <w:tcPr>
            <w:tcW w:w="1500" w:type="dxa"/>
            <w:vAlign w:val="center"/>
          </w:tcPr>
          <w:p w14:paraId="169DBADB" w14:textId="2B9A31DD" w:rsidR="22E6DB4E" w:rsidRDefault="22E6DB4E" w:rsidP="00960947">
            <w:pPr>
              <w:spacing w:before="0"/>
              <w:jc w:val="center"/>
            </w:pPr>
            <w:r w:rsidRPr="22E6DB4E">
              <w:rPr>
                <w:rFonts w:ascii="Calibri" w:eastAsia="Calibri" w:hAnsi="Calibri" w:cs="Calibri"/>
                <w:color w:val="000000" w:themeColor="text1"/>
                <w:szCs w:val="22"/>
              </w:rPr>
              <w:t>Good practice</w:t>
            </w:r>
          </w:p>
        </w:tc>
        <w:tc>
          <w:tcPr>
            <w:tcW w:w="1504" w:type="dxa"/>
            <w:vAlign w:val="center"/>
          </w:tcPr>
          <w:p w14:paraId="5415C86D" w14:textId="3A426D32" w:rsidR="22E6DB4E" w:rsidRDefault="22E6DB4E" w:rsidP="00960947">
            <w:pPr>
              <w:spacing w:before="0"/>
              <w:jc w:val="center"/>
            </w:pPr>
            <w:r w:rsidRPr="22E6DB4E">
              <w:rPr>
                <w:rFonts w:ascii="Calibri" w:eastAsia="Calibri" w:hAnsi="Calibri" w:cs="Calibri"/>
                <w:color w:val="000000" w:themeColor="text1"/>
                <w:szCs w:val="22"/>
              </w:rPr>
              <w:t>Good care</w:t>
            </w:r>
          </w:p>
        </w:tc>
      </w:tr>
      <w:tr w:rsidR="22E6DB4E" w14:paraId="76E922B2" w14:textId="77777777" w:rsidTr="00960947">
        <w:trPr>
          <w:trHeight w:val="300"/>
        </w:trPr>
        <w:tc>
          <w:tcPr>
            <w:tcW w:w="1502" w:type="dxa"/>
            <w:vAlign w:val="center"/>
          </w:tcPr>
          <w:p w14:paraId="7375E056" w14:textId="582FD773" w:rsidR="22E6DB4E" w:rsidRDefault="22E6DB4E" w:rsidP="00960947">
            <w:pPr>
              <w:spacing w:before="0"/>
              <w:jc w:val="center"/>
            </w:pPr>
            <w:r w:rsidRPr="22E6DB4E">
              <w:rPr>
                <w:rFonts w:ascii="Calibri" w:eastAsia="Calibri" w:hAnsi="Calibri" w:cs="Calibri"/>
                <w:color w:val="000000" w:themeColor="text1"/>
                <w:szCs w:val="22"/>
              </w:rPr>
              <w:t>30/11/2024</w:t>
            </w:r>
          </w:p>
        </w:tc>
        <w:tc>
          <w:tcPr>
            <w:tcW w:w="1502" w:type="dxa"/>
            <w:vAlign w:val="center"/>
          </w:tcPr>
          <w:p w14:paraId="0820527D" w14:textId="7AD76410" w:rsidR="22E6DB4E" w:rsidRDefault="22E6DB4E" w:rsidP="00960947">
            <w:pPr>
              <w:spacing w:before="0"/>
              <w:jc w:val="center"/>
            </w:pPr>
            <w:r w:rsidRPr="22E6DB4E">
              <w:rPr>
                <w:rFonts w:ascii="Calibri" w:eastAsia="Calibri" w:hAnsi="Calibri" w:cs="Calibri"/>
                <w:color w:val="000000" w:themeColor="text1"/>
                <w:szCs w:val="22"/>
              </w:rPr>
              <w:t>Poor care</w:t>
            </w:r>
          </w:p>
        </w:tc>
        <w:tc>
          <w:tcPr>
            <w:tcW w:w="1502" w:type="dxa"/>
            <w:vAlign w:val="center"/>
          </w:tcPr>
          <w:p w14:paraId="49A2EBEB" w14:textId="09588214" w:rsidR="22E6DB4E" w:rsidRDefault="22E6DB4E" w:rsidP="00960947">
            <w:pPr>
              <w:spacing w:before="0"/>
              <w:jc w:val="center"/>
            </w:pPr>
            <w:r w:rsidRPr="22E6DB4E">
              <w:rPr>
                <w:rFonts w:ascii="Calibri" w:eastAsia="Calibri" w:hAnsi="Calibri" w:cs="Calibri"/>
                <w:color w:val="000000" w:themeColor="text1"/>
                <w:szCs w:val="22"/>
              </w:rPr>
              <w:t>Poor care</w:t>
            </w:r>
          </w:p>
        </w:tc>
        <w:tc>
          <w:tcPr>
            <w:tcW w:w="1502" w:type="dxa"/>
            <w:vAlign w:val="center"/>
          </w:tcPr>
          <w:p w14:paraId="297654B6" w14:textId="22281844" w:rsidR="22E6DB4E" w:rsidRDefault="22E6DB4E" w:rsidP="00960947">
            <w:pPr>
              <w:spacing w:before="0"/>
              <w:jc w:val="center"/>
            </w:pPr>
            <w:r w:rsidRPr="22E6DB4E">
              <w:rPr>
                <w:rFonts w:ascii="Calibri" w:eastAsia="Calibri" w:hAnsi="Calibri" w:cs="Calibri"/>
                <w:color w:val="000000" w:themeColor="text1"/>
                <w:szCs w:val="22"/>
              </w:rPr>
              <w:t>Slight evidence of avoidability</w:t>
            </w:r>
          </w:p>
        </w:tc>
        <w:tc>
          <w:tcPr>
            <w:tcW w:w="1500" w:type="dxa"/>
            <w:vAlign w:val="center"/>
          </w:tcPr>
          <w:p w14:paraId="742D38A2" w14:textId="4335AD86" w:rsidR="22E6DB4E" w:rsidRDefault="22E6DB4E" w:rsidP="00960947">
            <w:pPr>
              <w:spacing w:before="0"/>
              <w:jc w:val="center"/>
            </w:pPr>
            <w:r w:rsidRPr="22E6DB4E">
              <w:rPr>
                <w:rFonts w:ascii="Calibri" w:eastAsia="Calibri" w:hAnsi="Calibri" w:cs="Calibri"/>
                <w:color w:val="000000" w:themeColor="text1"/>
                <w:szCs w:val="22"/>
              </w:rPr>
              <w:t>Room for improvement in clinical and organisational care</w:t>
            </w:r>
          </w:p>
        </w:tc>
        <w:tc>
          <w:tcPr>
            <w:tcW w:w="1504" w:type="dxa"/>
            <w:vAlign w:val="center"/>
          </w:tcPr>
          <w:p w14:paraId="52FA5566" w14:textId="0049673D" w:rsidR="22E6DB4E" w:rsidRDefault="22E6DB4E" w:rsidP="00960947">
            <w:pPr>
              <w:spacing w:before="0"/>
              <w:jc w:val="center"/>
            </w:pPr>
            <w:r w:rsidRPr="22E6DB4E">
              <w:rPr>
                <w:rFonts w:ascii="Calibri" w:eastAsia="Calibri" w:hAnsi="Calibri" w:cs="Calibri"/>
                <w:color w:val="000000" w:themeColor="text1"/>
                <w:szCs w:val="22"/>
              </w:rPr>
              <w:t>Poor care</w:t>
            </w:r>
          </w:p>
        </w:tc>
      </w:tr>
    </w:tbl>
    <w:p w14:paraId="0EA49377" w14:textId="35AC7164" w:rsidR="009872EC" w:rsidRDefault="002771BA" w:rsidP="00C07DDA">
      <w:pPr>
        <w:spacing w:before="0" w:after="0"/>
        <w:ind w:left="720"/>
        <w:rPr>
          <w:bCs/>
          <w:color w:val="000000" w:themeColor="text1"/>
          <w:sz w:val="18"/>
          <w:szCs w:val="18"/>
        </w:rPr>
      </w:pPr>
      <w:r>
        <w:rPr>
          <w:b/>
          <w:bCs/>
          <w:color w:val="000000" w:themeColor="text1"/>
          <w:sz w:val="18"/>
          <w:szCs w:val="18"/>
          <w:u w:val="single"/>
        </w:rPr>
        <w:t xml:space="preserve">Table 1: </w:t>
      </w:r>
      <w:r>
        <w:rPr>
          <w:bCs/>
          <w:color w:val="000000" w:themeColor="text1"/>
          <w:sz w:val="18"/>
          <w:szCs w:val="18"/>
        </w:rPr>
        <w:t>Cored details of the cases reviewed this quarter</w:t>
      </w:r>
    </w:p>
    <w:p w14:paraId="3386DA40" w14:textId="77777777" w:rsidR="002771BA" w:rsidRPr="002771BA" w:rsidRDefault="002771BA" w:rsidP="00C07DDA">
      <w:pPr>
        <w:spacing w:before="0" w:after="0"/>
        <w:ind w:left="720"/>
        <w:rPr>
          <w:bCs/>
          <w:color w:val="000000" w:themeColor="text1"/>
          <w:sz w:val="18"/>
          <w:szCs w:val="18"/>
        </w:rPr>
      </w:pPr>
    </w:p>
    <w:p w14:paraId="651DD648" w14:textId="00BB63DE" w:rsidR="00E44297" w:rsidRDefault="002771BA" w:rsidP="002771BA">
      <w:pPr>
        <w:spacing w:before="0" w:after="0"/>
        <w:rPr>
          <w:bCs/>
          <w:color w:val="000000" w:themeColor="text1"/>
          <w:szCs w:val="22"/>
        </w:rPr>
      </w:pPr>
      <w:r w:rsidRPr="002771BA">
        <w:rPr>
          <w:bCs/>
          <w:color w:val="000000" w:themeColor="text1"/>
          <w:szCs w:val="22"/>
        </w:rPr>
        <w:lastRenderedPageBreak/>
        <w:t>Three cases had overall care described as “poor”. All have been highlighted for a second review by a different clinician.</w:t>
      </w:r>
      <w:r w:rsidR="0020447F">
        <w:rPr>
          <w:bCs/>
          <w:color w:val="000000" w:themeColor="text1"/>
          <w:szCs w:val="22"/>
        </w:rPr>
        <w:t xml:space="preserve"> In all cases where poor care has been identified, </w:t>
      </w:r>
      <w:r w:rsidR="003F439B">
        <w:rPr>
          <w:bCs/>
          <w:color w:val="000000" w:themeColor="text1"/>
          <w:szCs w:val="22"/>
        </w:rPr>
        <w:t xml:space="preserve">the treating team </w:t>
      </w:r>
      <w:r w:rsidR="006D1FB0">
        <w:rPr>
          <w:bCs/>
          <w:color w:val="000000" w:themeColor="text1"/>
          <w:szCs w:val="22"/>
        </w:rPr>
        <w:t>will</w:t>
      </w:r>
      <w:r w:rsidR="003F439B">
        <w:rPr>
          <w:bCs/>
          <w:color w:val="000000" w:themeColor="text1"/>
          <w:szCs w:val="22"/>
        </w:rPr>
        <w:t xml:space="preserve"> review the case </w:t>
      </w:r>
      <w:r w:rsidR="006D1FB0">
        <w:rPr>
          <w:bCs/>
          <w:color w:val="000000" w:themeColor="text1"/>
          <w:szCs w:val="22"/>
        </w:rPr>
        <w:t>in the</w:t>
      </w:r>
      <w:r w:rsidR="003F439B">
        <w:rPr>
          <w:bCs/>
          <w:color w:val="000000" w:themeColor="text1"/>
          <w:szCs w:val="22"/>
        </w:rPr>
        <w:t xml:space="preserve"> Morbi</w:t>
      </w:r>
      <w:r w:rsidR="006B6D10">
        <w:rPr>
          <w:bCs/>
          <w:color w:val="000000" w:themeColor="text1"/>
          <w:szCs w:val="22"/>
        </w:rPr>
        <w:t>di</w:t>
      </w:r>
      <w:r w:rsidR="003F439B">
        <w:rPr>
          <w:bCs/>
          <w:color w:val="000000" w:themeColor="text1"/>
          <w:szCs w:val="22"/>
        </w:rPr>
        <w:t xml:space="preserve">ty &amp; Mortality review section of their regular </w:t>
      </w:r>
      <w:r w:rsidR="00947B78">
        <w:rPr>
          <w:bCs/>
          <w:color w:val="000000" w:themeColor="text1"/>
          <w:szCs w:val="22"/>
        </w:rPr>
        <w:t xml:space="preserve">governance meetings, with learning shared </w:t>
      </w:r>
      <w:r w:rsidR="006D1FB0">
        <w:rPr>
          <w:bCs/>
          <w:color w:val="000000" w:themeColor="text1"/>
          <w:szCs w:val="22"/>
        </w:rPr>
        <w:t>with the required colleagues</w:t>
      </w:r>
      <w:r w:rsidR="006B6D10">
        <w:rPr>
          <w:bCs/>
          <w:color w:val="000000" w:themeColor="text1"/>
          <w:szCs w:val="22"/>
        </w:rPr>
        <w:t>.</w:t>
      </w:r>
    </w:p>
    <w:p w14:paraId="2B4A850E" w14:textId="77777777" w:rsidR="00CE3250" w:rsidRDefault="00CE3250" w:rsidP="002771BA">
      <w:pPr>
        <w:spacing w:before="0" w:after="0"/>
        <w:rPr>
          <w:bCs/>
          <w:color w:val="000000" w:themeColor="text1"/>
          <w:szCs w:val="22"/>
        </w:rPr>
      </w:pPr>
    </w:p>
    <w:p w14:paraId="6118D0FB" w14:textId="7B187B5E" w:rsidR="00CE3250" w:rsidRDefault="00CE3250" w:rsidP="002771BA">
      <w:pPr>
        <w:spacing w:before="0" w:after="0"/>
        <w:rPr>
          <w:bCs/>
          <w:color w:val="000000" w:themeColor="text1"/>
          <w:szCs w:val="22"/>
        </w:rPr>
      </w:pPr>
      <w:r>
        <w:rPr>
          <w:bCs/>
          <w:color w:val="000000" w:themeColor="text1"/>
          <w:szCs w:val="22"/>
        </w:rPr>
        <w:t>Figure 8 below shows the breakdown of overall care this financial year:</w:t>
      </w:r>
    </w:p>
    <w:p w14:paraId="3268B070" w14:textId="77777777" w:rsidR="00CE3250" w:rsidRDefault="00CE3250" w:rsidP="002771BA">
      <w:pPr>
        <w:spacing w:before="0" w:after="0"/>
        <w:rPr>
          <w:bCs/>
          <w:color w:val="000000" w:themeColor="text1"/>
          <w:szCs w:val="22"/>
        </w:rPr>
      </w:pPr>
    </w:p>
    <w:p w14:paraId="23B4CDA9" w14:textId="08E9B571" w:rsidR="00CE3250" w:rsidRDefault="00CE3250" w:rsidP="002771BA">
      <w:pPr>
        <w:spacing w:before="0" w:after="0"/>
        <w:rPr>
          <w:bCs/>
          <w:color w:val="000000" w:themeColor="text1"/>
          <w:szCs w:val="22"/>
        </w:rPr>
      </w:pPr>
      <w:r>
        <w:rPr>
          <w:noProof/>
        </w:rPr>
        <w:drawing>
          <wp:inline distT="0" distB="0" distL="0" distR="0" wp14:anchorId="08E26734" wp14:editId="5E233593">
            <wp:extent cx="5724524" cy="3933825"/>
            <wp:effectExtent l="0" t="0" r="0" b="0"/>
            <wp:docPr id="878821124" name="Picture 878821124" descr="A pie chart with different colored s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21124" name="Picture 878821124" descr="A pie chart with different colored section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24524" cy="3933825"/>
                    </a:xfrm>
                    <a:prstGeom prst="rect">
                      <a:avLst/>
                    </a:prstGeom>
                  </pic:spPr>
                </pic:pic>
              </a:graphicData>
            </a:graphic>
          </wp:inline>
        </w:drawing>
      </w:r>
    </w:p>
    <w:p w14:paraId="1861D9D0" w14:textId="77777777" w:rsidR="00CE3250" w:rsidRDefault="00CE3250" w:rsidP="002771BA">
      <w:pPr>
        <w:spacing w:before="0" w:after="0"/>
        <w:rPr>
          <w:bCs/>
          <w:color w:val="000000" w:themeColor="text1"/>
          <w:szCs w:val="22"/>
        </w:rPr>
      </w:pPr>
    </w:p>
    <w:p w14:paraId="3C8C7D79" w14:textId="2BA0A568" w:rsidR="00CE3250" w:rsidRDefault="00CE3250" w:rsidP="00E3793B">
      <w:pPr>
        <w:spacing w:before="0" w:after="0"/>
        <w:ind w:firstLine="720"/>
        <w:rPr>
          <w:bCs/>
          <w:color w:val="000000" w:themeColor="text1"/>
          <w:szCs w:val="22"/>
        </w:rPr>
      </w:pPr>
      <w:r>
        <w:rPr>
          <w:b/>
          <w:bCs/>
          <w:color w:val="000000" w:themeColor="text1"/>
          <w:sz w:val="18"/>
          <w:szCs w:val="18"/>
          <w:u w:val="single"/>
        </w:rPr>
        <w:t>Figure 8:</w:t>
      </w:r>
      <w:r>
        <w:rPr>
          <w:bCs/>
          <w:color w:val="000000" w:themeColor="text1"/>
          <w:sz w:val="18"/>
          <w:szCs w:val="18"/>
        </w:rPr>
        <w:t xml:space="preserve"> Overall care in all cases reviewed this financial year</w:t>
      </w:r>
    </w:p>
    <w:p w14:paraId="1473B5B7" w14:textId="77777777" w:rsidR="00CE3250" w:rsidRDefault="00CE3250" w:rsidP="002771BA">
      <w:pPr>
        <w:spacing w:before="0" w:after="0"/>
        <w:rPr>
          <w:bCs/>
          <w:color w:val="000000" w:themeColor="text1"/>
          <w:szCs w:val="22"/>
        </w:rPr>
      </w:pPr>
    </w:p>
    <w:p w14:paraId="756B5691" w14:textId="77777777" w:rsidR="00CE3250" w:rsidRDefault="00CE3250" w:rsidP="002771BA">
      <w:pPr>
        <w:spacing w:before="0" w:after="0"/>
        <w:rPr>
          <w:bCs/>
          <w:color w:val="000000" w:themeColor="text1"/>
          <w:szCs w:val="22"/>
        </w:rPr>
      </w:pPr>
    </w:p>
    <w:p w14:paraId="37E1E4D9" w14:textId="77777777" w:rsidR="00CE3250" w:rsidRDefault="00CE3250" w:rsidP="002771BA">
      <w:pPr>
        <w:spacing w:before="0" w:after="0"/>
        <w:rPr>
          <w:bCs/>
          <w:color w:val="000000" w:themeColor="text1"/>
          <w:szCs w:val="22"/>
        </w:rPr>
      </w:pPr>
    </w:p>
    <w:p w14:paraId="780F249C" w14:textId="77777777" w:rsidR="00CE3250" w:rsidRDefault="00CE3250" w:rsidP="002771BA">
      <w:pPr>
        <w:spacing w:before="0" w:after="0"/>
        <w:rPr>
          <w:bCs/>
          <w:color w:val="000000" w:themeColor="text1"/>
          <w:szCs w:val="22"/>
        </w:rPr>
      </w:pPr>
    </w:p>
    <w:p w14:paraId="79FC51E4" w14:textId="7D5818B9" w:rsidR="009114BE" w:rsidRPr="002771BA" w:rsidRDefault="009114BE" w:rsidP="002771BA">
      <w:pPr>
        <w:spacing w:before="0" w:after="0"/>
        <w:rPr>
          <w:bCs/>
          <w:color w:val="000000" w:themeColor="text1"/>
          <w:szCs w:val="22"/>
        </w:rPr>
      </w:pPr>
      <w:r>
        <w:rPr>
          <w:bCs/>
          <w:color w:val="000000" w:themeColor="text1"/>
          <w:szCs w:val="22"/>
        </w:rPr>
        <w:t xml:space="preserve">Tables 2 and 3 show the quality of end-of-life care and </w:t>
      </w:r>
      <w:r w:rsidR="00BD3818">
        <w:rPr>
          <w:bCs/>
          <w:color w:val="000000" w:themeColor="text1"/>
          <w:szCs w:val="22"/>
        </w:rPr>
        <w:t>record keeping re</w:t>
      </w:r>
      <w:r w:rsidR="00303A84">
        <w:rPr>
          <w:bCs/>
          <w:color w:val="000000" w:themeColor="text1"/>
          <w:szCs w:val="22"/>
        </w:rPr>
        <w:t>s</w:t>
      </w:r>
      <w:r w:rsidR="00BD3818">
        <w:rPr>
          <w:bCs/>
          <w:color w:val="000000" w:themeColor="text1"/>
          <w:szCs w:val="22"/>
        </w:rPr>
        <w:t>pectively</w:t>
      </w:r>
      <w:r w:rsidR="00303A84">
        <w:rPr>
          <w:bCs/>
          <w:color w:val="000000" w:themeColor="text1"/>
          <w:szCs w:val="22"/>
        </w:rPr>
        <w:t>:</w:t>
      </w:r>
    </w:p>
    <w:p w14:paraId="73D01191" w14:textId="103ED839" w:rsidR="00E44297" w:rsidRDefault="00E44297" w:rsidP="00C07DDA">
      <w:pPr>
        <w:spacing w:before="0" w:after="0"/>
        <w:ind w:left="720"/>
        <w:rPr>
          <w:b/>
          <w:bCs/>
          <w:color w:val="000000" w:themeColor="text1"/>
          <w:sz w:val="18"/>
          <w:szCs w:val="18"/>
          <w:u w:val="single"/>
        </w:rPr>
      </w:pPr>
    </w:p>
    <w:tbl>
      <w:tblPr>
        <w:tblW w:w="4877" w:type="dxa"/>
        <w:tblLook w:val="04A0" w:firstRow="1" w:lastRow="0" w:firstColumn="1" w:lastColumn="0" w:noHBand="0" w:noVBand="1"/>
      </w:tblPr>
      <w:tblGrid>
        <w:gridCol w:w="1657"/>
        <w:gridCol w:w="1073"/>
        <w:gridCol w:w="1074"/>
        <w:gridCol w:w="1073"/>
      </w:tblGrid>
      <w:tr w:rsidR="00E44297" w:rsidRPr="00E44297" w14:paraId="4AC7A7E9" w14:textId="77777777" w:rsidTr="00F539C3">
        <w:trPr>
          <w:trHeight w:val="51"/>
        </w:trPr>
        <w:tc>
          <w:tcPr>
            <w:tcW w:w="3804" w:type="dxa"/>
            <w:gridSpan w:val="3"/>
            <w:tcBorders>
              <w:top w:val="nil"/>
              <w:left w:val="nil"/>
              <w:bottom w:val="single" w:sz="4" w:space="0" w:color="909090"/>
              <w:right w:val="nil"/>
            </w:tcBorders>
            <w:shd w:val="clear" w:color="auto" w:fill="002060"/>
            <w:noWrap/>
            <w:vAlign w:val="center"/>
            <w:hideMark/>
          </w:tcPr>
          <w:p w14:paraId="7BE9935F" w14:textId="77777777" w:rsidR="00E44297" w:rsidRPr="00E44297" w:rsidRDefault="00E44297" w:rsidP="009D5B33">
            <w:pPr>
              <w:spacing w:before="0" w:after="0"/>
              <w:jc w:val="center"/>
              <w:rPr>
                <w:rFonts w:ascii="Calibri" w:hAnsi="Calibri" w:cs="Calibri"/>
                <w:b/>
                <w:bCs/>
                <w:color w:val="FFFFFF"/>
                <w:szCs w:val="22"/>
              </w:rPr>
            </w:pPr>
            <w:r w:rsidRPr="00E44297">
              <w:rPr>
                <w:rFonts w:ascii="Calibri" w:hAnsi="Calibri" w:cs="Calibri"/>
                <w:b/>
                <w:bCs/>
                <w:color w:val="FFFFFF"/>
                <w:szCs w:val="22"/>
              </w:rPr>
              <w:t>End of Life Care</w:t>
            </w:r>
          </w:p>
        </w:tc>
        <w:tc>
          <w:tcPr>
            <w:tcW w:w="1073" w:type="dxa"/>
            <w:tcBorders>
              <w:top w:val="nil"/>
              <w:left w:val="nil"/>
              <w:bottom w:val="single" w:sz="4" w:space="0" w:color="909090"/>
              <w:right w:val="nil"/>
            </w:tcBorders>
            <w:shd w:val="clear" w:color="auto" w:fill="002060"/>
            <w:vAlign w:val="center"/>
          </w:tcPr>
          <w:p w14:paraId="41A2A930" w14:textId="669764D3" w:rsidR="22E6DB4E" w:rsidRDefault="22E6DB4E" w:rsidP="009D5B33">
            <w:pPr>
              <w:jc w:val="center"/>
              <w:rPr>
                <w:rFonts w:ascii="Calibri" w:hAnsi="Calibri" w:cs="Calibri"/>
                <w:b/>
                <w:bCs/>
                <w:color w:val="FFFFFF" w:themeColor="background1"/>
              </w:rPr>
            </w:pPr>
          </w:p>
        </w:tc>
      </w:tr>
      <w:tr w:rsidR="00E44297" w:rsidRPr="00E44297" w14:paraId="710B04F7" w14:textId="77777777" w:rsidTr="00F539C3">
        <w:trPr>
          <w:trHeight w:val="51"/>
        </w:trPr>
        <w:tc>
          <w:tcPr>
            <w:tcW w:w="1657" w:type="dxa"/>
            <w:tcBorders>
              <w:top w:val="nil"/>
              <w:left w:val="single" w:sz="4" w:space="0" w:color="909090"/>
              <w:bottom w:val="single" w:sz="4" w:space="0" w:color="909090"/>
              <w:right w:val="single" w:sz="4" w:space="0" w:color="909090"/>
            </w:tcBorders>
            <w:shd w:val="clear" w:color="auto" w:fill="779EC1"/>
            <w:noWrap/>
            <w:vAlign w:val="bottom"/>
            <w:hideMark/>
          </w:tcPr>
          <w:p w14:paraId="68816DFC" w14:textId="77777777" w:rsidR="00E44297" w:rsidRPr="00E44297" w:rsidRDefault="00E44297" w:rsidP="00E44297">
            <w:pPr>
              <w:spacing w:before="0" w:after="0"/>
              <w:jc w:val="left"/>
              <w:rPr>
                <w:rFonts w:ascii="Calibri" w:hAnsi="Calibri" w:cs="Calibri"/>
                <w:color w:val="000000"/>
                <w:szCs w:val="22"/>
              </w:rPr>
            </w:pPr>
            <w:r w:rsidRPr="00E44297">
              <w:rPr>
                <w:rFonts w:ascii="Calibri" w:hAnsi="Calibri" w:cs="Calibri"/>
                <w:color w:val="000000"/>
                <w:szCs w:val="22"/>
              </w:rPr>
              <w:t> </w:t>
            </w:r>
          </w:p>
        </w:tc>
        <w:tc>
          <w:tcPr>
            <w:tcW w:w="1073" w:type="dxa"/>
            <w:tcBorders>
              <w:top w:val="nil"/>
              <w:left w:val="nil"/>
              <w:bottom w:val="single" w:sz="4" w:space="0" w:color="909090"/>
              <w:right w:val="single" w:sz="4" w:space="0" w:color="909090"/>
            </w:tcBorders>
            <w:shd w:val="clear" w:color="auto" w:fill="8AACCA"/>
            <w:noWrap/>
            <w:vAlign w:val="center"/>
            <w:hideMark/>
          </w:tcPr>
          <w:p w14:paraId="48653C4E" w14:textId="77777777" w:rsidR="00E44297" w:rsidRPr="00E44297" w:rsidRDefault="00E44297" w:rsidP="009D5B33">
            <w:pPr>
              <w:spacing w:before="0" w:after="0"/>
              <w:jc w:val="center"/>
              <w:rPr>
                <w:rFonts w:ascii="Calibri" w:hAnsi="Calibri" w:cs="Calibri"/>
                <w:color w:val="000000"/>
                <w:szCs w:val="22"/>
              </w:rPr>
            </w:pPr>
            <w:r w:rsidRPr="00E44297">
              <w:rPr>
                <w:rFonts w:ascii="Calibri" w:hAnsi="Calibri" w:cs="Calibri"/>
                <w:color w:val="000000"/>
                <w:szCs w:val="22"/>
              </w:rPr>
              <w:t>24/25 Q1</w:t>
            </w:r>
          </w:p>
        </w:tc>
        <w:tc>
          <w:tcPr>
            <w:tcW w:w="1074" w:type="dxa"/>
            <w:tcBorders>
              <w:top w:val="nil"/>
              <w:left w:val="nil"/>
              <w:bottom w:val="single" w:sz="4" w:space="0" w:color="909090"/>
              <w:right w:val="single" w:sz="4" w:space="0" w:color="909090"/>
            </w:tcBorders>
            <w:shd w:val="clear" w:color="auto" w:fill="8AACCA"/>
            <w:noWrap/>
            <w:vAlign w:val="center"/>
            <w:hideMark/>
          </w:tcPr>
          <w:p w14:paraId="6EC75B6B" w14:textId="77777777" w:rsidR="00E44297" w:rsidRPr="00E44297" w:rsidRDefault="00E44297" w:rsidP="009D5B33">
            <w:pPr>
              <w:spacing w:before="0" w:after="0"/>
              <w:jc w:val="center"/>
              <w:rPr>
                <w:rFonts w:ascii="Calibri" w:hAnsi="Calibri" w:cs="Calibri"/>
                <w:color w:val="000000"/>
                <w:szCs w:val="22"/>
              </w:rPr>
            </w:pPr>
            <w:r w:rsidRPr="00E44297">
              <w:rPr>
                <w:rFonts w:ascii="Calibri" w:hAnsi="Calibri" w:cs="Calibri"/>
                <w:color w:val="000000"/>
                <w:szCs w:val="22"/>
              </w:rPr>
              <w:t>24/25 Q2</w:t>
            </w:r>
          </w:p>
        </w:tc>
        <w:tc>
          <w:tcPr>
            <w:tcW w:w="1073" w:type="dxa"/>
            <w:tcBorders>
              <w:top w:val="nil"/>
              <w:left w:val="nil"/>
              <w:bottom w:val="single" w:sz="4" w:space="0" w:color="909090"/>
              <w:right w:val="single" w:sz="4" w:space="0" w:color="909090"/>
            </w:tcBorders>
            <w:shd w:val="clear" w:color="auto" w:fill="8AACCA"/>
            <w:vAlign w:val="center"/>
          </w:tcPr>
          <w:p w14:paraId="18C0A922" w14:textId="093A0D8E" w:rsidR="22E6DB4E" w:rsidRDefault="00960947" w:rsidP="009D5B33">
            <w:pPr>
              <w:jc w:val="center"/>
              <w:rPr>
                <w:rFonts w:ascii="Calibri" w:hAnsi="Calibri" w:cs="Calibri"/>
                <w:color w:val="000000" w:themeColor="text1"/>
              </w:rPr>
            </w:pPr>
            <w:r>
              <w:rPr>
                <w:rFonts w:ascii="Calibri" w:hAnsi="Calibri" w:cs="Calibri"/>
                <w:color w:val="000000" w:themeColor="text1"/>
              </w:rPr>
              <w:t>24/25 Q3</w:t>
            </w:r>
          </w:p>
        </w:tc>
      </w:tr>
      <w:tr w:rsidR="00E44297" w:rsidRPr="00E44297" w14:paraId="09027E03" w14:textId="77777777" w:rsidTr="00F539C3">
        <w:trPr>
          <w:trHeight w:val="68"/>
        </w:trPr>
        <w:tc>
          <w:tcPr>
            <w:tcW w:w="1657" w:type="dxa"/>
            <w:tcBorders>
              <w:top w:val="nil"/>
              <w:left w:val="single" w:sz="4" w:space="0" w:color="909090"/>
              <w:bottom w:val="single" w:sz="4" w:space="0" w:color="909090"/>
              <w:right w:val="single" w:sz="4" w:space="0" w:color="909090"/>
            </w:tcBorders>
            <w:shd w:val="clear" w:color="auto" w:fill="8AACCA"/>
            <w:noWrap/>
            <w:vAlign w:val="center"/>
            <w:hideMark/>
          </w:tcPr>
          <w:p w14:paraId="4ECA638D"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Good care</w:t>
            </w:r>
          </w:p>
        </w:tc>
        <w:tc>
          <w:tcPr>
            <w:tcW w:w="1073" w:type="dxa"/>
            <w:tcBorders>
              <w:top w:val="nil"/>
              <w:left w:val="nil"/>
              <w:bottom w:val="single" w:sz="4" w:space="0" w:color="909090"/>
              <w:right w:val="single" w:sz="4" w:space="0" w:color="909090"/>
            </w:tcBorders>
            <w:shd w:val="clear" w:color="auto" w:fill="FFFFFF" w:themeFill="background1"/>
            <w:noWrap/>
            <w:vAlign w:val="center"/>
            <w:hideMark/>
          </w:tcPr>
          <w:p w14:paraId="455A00BF"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12</w:t>
            </w:r>
          </w:p>
        </w:tc>
        <w:tc>
          <w:tcPr>
            <w:tcW w:w="1074" w:type="dxa"/>
            <w:tcBorders>
              <w:top w:val="nil"/>
              <w:left w:val="nil"/>
              <w:bottom w:val="single" w:sz="4" w:space="0" w:color="909090"/>
              <w:right w:val="single" w:sz="4" w:space="0" w:color="909090"/>
            </w:tcBorders>
            <w:shd w:val="clear" w:color="auto" w:fill="FFFFFF" w:themeFill="background1"/>
            <w:noWrap/>
            <w:vAlign w:val="center"/>
            <w:hideMark/>
          </w:tcPr>
          <w:p w14:paraId="28DB8823"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11</w:t>
            </w:r>
          </w:p>
        </w:tc>
        <w:tc>
          <w:tcPr>
            <w:tcW w:w="1073" w:type="dxa"/>
            <w:tcBorders>
              <w:top w:val="nil"/>
              <w:left w:val="nil"/>
              <w:bottom w:val="single" w:sz="4" w:space="0" w:color="909090"/>
              <w:right w:val="single" w:sz="4" w:space="0" w:color="909090"/>
            </w:tcBorders>
            <w:shd w:val="clear" w:color="auto" w:fill="FFFFFF" w:themeFill="background1"/>
            <w:vAlign w:val="center"/>
          </w:tcPr>
          <w:p w14:paraId="2B264311" w14:textId="55F43C7F" w:rsidR="0613CA39" w:rsidRDefault="0613CA39" w:rsidP="008511C1">
            <w:pPr>
              <w:jc w:val="center"/>
              <w:rPr>
                <w:rFonts w:ascii="Calibri" w:hAnsi="Calibri" w:cs="Calibri"/>
                <w:color w:val="000000" w:themeColor="text1"/>
              </w:rPr>
            </w:pPr>
            <w:r w:rsidRPr="22E6DB4E">
              <w:rPr>
                <w:rFonts w:ascii="Calibri" w:hAnsi="Calibri" w:cs="Calibri"/>
                <w:color w:val="000000" w:themeColor="text1"/>
              </w:rPr>
              <w:t>11</w:t>
            </w:r>
          </w:p>
        </w:tc>
      </w:tr>
      <w:tr w:rsidR="00E44297" w:rsidRPr="00E44297" w14:paraId="447BCA15" w14:textId="77777777" w:rsidTr="00F539C3">
        <w:trPr>
          <w:trHeight w:val="68"/>
        </w:trPr>
        <w:tc>
          <w:tcPr>
            <w:tcW w:w="1657" w:type="dxa"/>
            <w:tcBorders>
              <w:top w:val="nil"/>
              <w:left w:val="single" w:sz="4" w:space="0" w:color="909090"/>
              <w:bottom w:val="single" w:sz="4" w:space="0" w:color="909090"/>
              <w:right w:val="single" w:sz="4" w:space="0" w:color="909090"/>
            </w:tcBorders>
            <w:shd w:val="clear" w:color="auto" w:fill="8AACCA"/>
            <w:noWrap/>
            <w:vAlign w:val="center"/>
            <w:hideMark/>
          </w:tcPr>
          <w:p w14:paraId="3FA8DDA8"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Adequate care</w:t>
            </w:r>
          </w:p>
        </w:tc>
        <w:tc>
          <w:tcPr>
            <w:tcW w:w="1073" w:type="dxa"/>
            <w:tcBorders>
              <w:top w:val="nil"/>
              <w:left w:val="nil"/>
              <w:bottom w:val="single" w:sz="4" w:space="0" w:color="909090"/>
              <w:right w:val="single" w:sz="4" w:space="0" w:color="909090"/>
            </w:tcBorders>
            <w:shd w:val="clear" w:color="auto" w:fill="FFFFFF" w:themeFill="background1"/>
            <w:noWrap/>
            <w:vAlign w:val="center"/>
            <w:hideMark/>
          </w:tcPr>
          <w:p w14:paraId="4C4C4215" w14:textId="4F3DC22D" w:rsidR="00E44297" w:rsidRPr="00E44297" w:rsidRDefault="00CA5053" w:rsidP="008511C1">
            <w:pPr>
              <w:spacing w:before="0" w:after="0"/>
              <w:jc w:val="center"/>
              <w:rPr>
                <w:rFonts w:ascii="Calibri" w:hAnsi="Calibri" w:cs="Calibri"/>
                <w:color w:val="000000"/>
              </w:rPr>
            </w:pPr>
            <w:r>
              <w:rPr>
                <w:rFonts w:ascii="Calibri" w:hAnsi="Calibri" w:cs="Calibri"/>
                <w:color w:val="000000"/>
              </w:rPr>
              <w:t>4</w:t>
            </w:r>
          </w:p>
        </w:tc>
        <w:tc>
          <w:tcPr>
            <w:tcW w:w="1074" w:type="dxa"/>
            <w:tcBorders>
              <w:top w:val="nil"/>
              <w:left w:val="nil"/>
              <w:bottom w:val="single" w:sz="4" w:space="0" w:color="909090"/>
              <w:right w:val="single" w:sz="4" w:space="0" w:color="909090"/>
            </w:tcBorders>
            <w:shd w:val="clear" w:color="auto" w:fill="FFFFFF" w:themeFill="background1"/>
            <w:noWrap/>
            <w:vAlign w:val="center"/>
            <w:hideMark/>
          </w:tcPr>
          <w:p w14:paraId="2490077B"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2</w:t>
            </w:r>
          </w:p>
        </w:tc>
        <w:tc>
          <w:tcPr>
            <w:tcW w:w="1073" w:type="dxa"/>
            <w:tcBorders>
              <w:top w:val="nil"/>
              <w:left w:val="nil"/>
              <w:bottom w:val="single" w:sz="4" w:space="0" w:color="909090"/>
              <w:right w:val="single" w:sz="4" w:space="0" w:color="909090"/>
            </w:tcBorders>
            <w:shd w:val="clear" w:color="auto" w:fill="FFFFFF" w:themeFill="background1"/>
            <w:vAlign w:val="center"/>
          </w:tcPr>
          <w:p w14:paraId="0A2683EC" w14:textId="3B0DC115" w:rsidR="0FBCE73A" w:rsidRDefault="0FBCE73A" w:rsidP="008511C1">
            <w:pPr>
              <w:jc w:val="center"/>
              <w:rPr>
                <w:rFonts w:ascii="Calibri" w:hAnsi="Calibri" w:cs="Calibri"/>
                <w:color w:val="000000" w:themeColor="text1"/>
              </w:rPr>
            </w:pPr>
            <w:r w:rsidRPr="22E6DB4E">
              <w:rPr>
                <w:rFonts w:ascii="Calibri" w:hAnsi="Calibri" w:cs="Calibri"/>
                <w:color w:val="000000" w:themeColor="text1"/>
              </w:rPr>
              <w:t>1</w:t>
            </w:r>
          </w:p>
        </w:tc>
      </w:tr>
      <w:tr w:rsidR="00E44297" w:rsidRPr="00E44297" w14:paraId="5C1CE89A" w14:textId="77777777" w:rsidTr="00F539C3">
        <w:trPr>
          <w:trHeight w:val="68"/>
        </w:trPr>
        <w:tc>
          <w:tcPr>
            <w:tcW w:w="1657" w:type="dxa"/>
            <w:tcBorders>
              <w:top w:val="nil"/>
              <w:left w:val="single" w:sz="4" w:space="0" w:color="909090"/>
              <w:bottom w:val="single" w:sz="4" w:space="0" w:color="909090"/>
              <w:right w:val="single" w:sz="4" w:space="0" w:color="909090"/>
            </w:tcBorders>
            <w:shd w:val="clear" w:color="auto" w:fill="8AACCA"/>
            <w:noWrap/>
            <w:vAlign w:val="center"/>
            <w:hideMark/>
          </w:tcPr>
          <w:p w14:paraId="5C045DA5"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Not Applicable</w:t>
            </w:r>
          </w:p>
        </w:tc>
        <w:tc>
          <w:tcPr>
            <w:tcW w:w="1073" w:type="dxa"/>
            <w:tcBorders>
              <w:top w:val="nil"/>
              <w:left w:val="nil"/>
              <w:bottom w:val="single" w:sz="4" w:space="0" w:color="909090"/>
              <w:right w:val="single" w:sz="4" w:space="0" w:color="909090"/>
            </w:tcBorders>
            <w:shd w:val="clear" w:color="auto" w:fill="FFFFFF" w:themeFill="background1"/>
            <w:noWrap/>
            <w:vAlign w:val="center"/>
            <w:hideMark/>
          </w:tcPr>
          <w:p w14:paraId="2E8970DD"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2</w:t>
            </w:r>
          </w:p>
        </w:tc>
        <w:tc>
          <w:tcPr>
            <w:tcW w:w="1074" w:type="dxa"/>
            <w:tcBorders>
              <w:top w:val="nil"/>
              <w:left w:val="nil"/>
              <w:bottom w:val="single" w:sz="4" w:space="0" w:color="909090"/>
              <w:right w:val="single" w:sz="4" w:space="0" w:color="909090"/>
            </w:tcBorders>
            <w:shd w:val="clear" w:color="auto" w:fill="FFFFFF" w:themeFill="background1"/>
            <w:noWrap/>
            <w:vAlign w:val="center"/>
            <w:hideMark/>
          </w:tcPr>
          <w:p w14:paraId="69BB93AB"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3</w:t>
            </w:r>
          </w:p>
        </w:tc>
        <w:tc>
          <w:tcPr>
            <w:tcW w:w="1073" w:type="dxa"/>
            <w:tcBorders>
              <w:top w:val="nil"/>
              <w:left w:val="nil"/>
              <w:bottom w:val="single" w:sz="4" w:space="0" w:color="909090"/>
              <w:right w:val="single" w:sz="4" w:space="0" w:color="909090"/>
            </w:tcBorders>
            <w:shd w:val="clear" w:color="auto" w:fill="FFFFFF" w:themeFill="background1"/>
            <w:vAlign w:val="center"/>
          </w:tcPr>
          <w:p w14:paraId="7F492302" w14:textId="519BC3B8" w:rsidR="78D34F15" w:rsidRDefault="78D34F15" w:rsidP="008511C1">
            <w:pPr>
              <w:jc w:val="center"/>
              <w:rPr>
                <w:rFonts w:ascii="Calibri" w:hAnsi="Calibri" w:cs="Calibri"/>
                <w:color w:val="000000" w:themeColor="text1"/>
              </w:rPr>
            </w:pPr>
            <w:r w:rsidRPr="22E6DB4E">
              <w:rPr>
                <w:rFonts w:ascii="Calibri" w:hAnsi="Calibri" w:cs="Calibri"/>
                <w:color w:val="000000" w:themeColor="text1"/>
              </w:rPr>
              <w:t>6</w:t>
            </w:r>
          </w:p>
        </w:tc>
      </w:tr>
      <w:tr w:rsidR="00E44297" w:rsidRPr="00E44297" w14:paraId="4040C12C" w14:textId="77777777" w:rsidTr="00F539C3">
        <w:trPr>
          <w:trHeight w:val="68"/>
        </w:trPr>
        <w:tc>
          <w:tcPr>
            <w:tcW w:w="1657" w:type="dxa"/>
            <w:tcBorders>
              <w:top w:val="nil"/>
              <w:left w:val="single" w:sz="4" w:space="0" w:color="909090"/>
              <w:bottom w:val="single" w:sz="4" w:space="0" w:color="909090"/>
              <w:right w:val="single" w:sz="4" w:space="0" w:color="909090"/>
            </w:tcBorders>
            <w:shd w:val="clear" w:color="auto" w:fill="8AACCA"/>
            <w:noWrap/>
            <w:vAlign w:val="center"/>
            <w:hideMark/>
          </w:tcPr>
          <w:p w14:paraId="5C1441D9"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Poor care</w:t>
            </w:r>
          </w:p>
        </w:tc>
        <w:tc>
          <w:tcPr>
            <w:tcW w:w="1073" w:type="dxa"/>
            <w:tcBorders>
              <w:top w:val="nil"/>
              <w:left w:val="nil"/>
              <w:bottom w:val="single" w:sz="4" w:space="0" w:color="909090"/>
              <w:right w:val="single" w:sz="4" w:space="0" w:color="909090"/>
            </w:tcBorders>
            <w:shd w:val="clear" w:color="auto" w:fill="FFFFFF" w:themeFill="background1"/>
            <w:noWrap/>
            <w:vAlign w:val="center"/>
            <w:hideMark/>
          </w:tcPr>
          <w:p w14:paraId="102EFCE0"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1</w:t>
            </w:r>
          </w:p>
        </w:tc>
        <w:tc>
          <w:tcPr>
            <w:tcW w:w="1074" w:type="dxa"/>
            <w:tcBorders>
              <w:top w:val="nil"/>
              <w:left w:val="nil"/>
              <w:bottom w:val="single" w:sz="4" w:space="0" w:color="909090"/>
              <w:right w:val="single" w:sz="4" w:space="0" w:color="909090"/>
            </w:tcBorders>
            <w:shd w:val="clear" w:color="auto" w:fill="FFFFFF" w:themeFill="background1"/>
            <w:noWrap/>
            <w:vAlign w:val="center"/>
            <w:hideMark/>
          </w:tcPr>
          <w:p w14:paraId="75A7C516"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1</w:t>
            </w:r>
          </w:p>
        </w:tc>
        <w:tc>
          <w:tcPr>
            <w:tcW w:w="1073" w:type="dxa"/>
            <w:tcBorders>
              <w:top w:val="nil"/>
              <w:left w:val="nil"/>
              <w:bottom w:val="single" w:sz="4" w:space="0" w:color="909090"/>
              <w:right w:val="single" w:sz="4" w:space="0" w:color="909090"/>
            </w:tcBorders>
            <w:shd w:val="clear" w:color="auto" w:fill="FFFFFF" w:themeFill="background1"/>
            <w:vAlign w:val="center"/>
          </w:tcPr>
          <w:p w14:paraId="52EB91A7" w14:textId="566B704C" w:rsidR="34AC60FA" w:rsidRDefault="34AC60FA" w:rsidP="008511C1">
            <w:pPr>
              <w:jc w:val="center"/>
              <w:rPr>
                <w:rFonts w:ascii="Calibri" w:hAnsi="Calibri" w:cs="Calibri"/>
                <w:color w:val="000000" w:themeColor="text1"/>
              </w:rPr>
            </w:pPr>
            <w:r w:rsidRPr="22E6DB4E">
              <w:rPr>
                <w:rFonts w:ascii="Calibri" w:hAnsi="Calibri" w:cs="Calibri"/>
                <w:color w:val="000000" w:themeColor="text1"/>
              </w:rPr>
              <w:t>0</w:t>
            </w:r>
          </w:p>
        </w:tc>
      </w:tr>
      <w:tr w:rsidR="00E44297" w:rsidRPr="00E44297" w14:paraId="71D9AEB7" w14:textId="77777777" w:rsidTr="00F539C3">
        <w:trPr>
          <w:trHeight w:val="68"/>
        </w:trPr>
        <w:tc>
          <w:tcPr>
            <w:tcW w:w="1657" w:type="dxa"/>
            <w:tcBorders>
              <w:top w:val="nil"/>
              <w:left w:val="single" w:sz="4" w:space="0" w:color="909090"/>
              <w:bottom w:val="single" w:sz="4" w:space="0" w:color="909090"/>
              <w:right w:val="single" w:sz="4" w:space="0" w:color="909090"/>
            </w:tcBorders>
            <w:shd w:val="clear" w:color="auto" w:fill="8AACCA"/>
            <w:noWrap/>
            <w:vAlign w:val="center"/>
            <w:hideMark/>
          </w:tcPr>
          <w:p w14:paraId="0F3F8948"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Excellent care</w:t>
            </w:r>
          </w:p>
        </w:tc>
        <w:tc>
          <w:tcPr>
            <w:tcW w:w="1073" w:type="dxa"/>
            <w:tcBorders>
              <w:top w:val="nil"/>
              <w:left w:val="nil"/>
              <w:bottom w:val="single" w:sz="4" w:space="0" w:color="909090"/>
              <w:right w:val="single" w:sz="4" w:space="0" w:color="909090"/>
            </w:tcBorders>
            <w:shd w:val="clear" w:color="auto" w:fill="FFFFFF" w:themeFill="background1"/>
            <w:noWrap/>
            <w:vAlign w:val="center"/>
            <w:hideMark/>
          </w:tcPr>
          <w:p w14:paraId="13824FE6"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0</w:t>
            </w:r>
          </w:p>
        </w:tc>
        <w:tc>
          <w:tcPr>
            <w:tcW w:w="1074" w:type="dxa"/>
            <w:tcBorders>
              <w:top w:val="nil"/>
              <w:left w:val="nil"/>
              <w:bottom w:val="single" w:sz="4" w:space="0" w:color="909090"/>
              <w:right w:val="single" w:sz="4" w:space="0" w:color="909090"/>
            </w:tcBorders>
            <w:shd w:val="clear" w:color="auto" w:fill="FFFFFF" w:themeFill="background1"/>
            <w:noWrap/>
            <w:vAlign w:val="center"/>
            <w:hideMark/>
          </w:tcPr>
          <w:p w14:paraId="093FDBA3" w14:textId="77777777" w:rsidR="00E44297" w:rsidRPr="00E44297" w:rsidRDefault="00E44297" w:rsidP="008511C1">
            <w:pPr>
              <w:spacing w:before="0" w:after="0"/>
              <w:jc w:val="center"/>
              <w:rPr>
                <w:rFonts w:ascii="Calibri" w:hAnsi="Calibri" w:cs="Calibri"/>
                <w:color w:val="000000"/>
                <w:szCs w:val="22"/>
              </w:rPr>
            </w:pPr>
            <w:r w:rsidRPr="00E44297">
              <w:rPr>
                <w:rFonts w:ascii="Calibri" w:hAnsi="Calibri" w:cs="Calibri"/>
                <w:color w:val="000000"/>
                <w:szCs w:val="22"/>
              </w:rPr>
              <w:t>2</w:t>
            </w:r>
          </w:p>
        </w:tc>
        <w:tc>
          <w:tcPr>
            <w:tcW w:w="1073" w:type="dxa"/>
            <w:tcBorders>
              <w:top w:val="nil"/>
              <w:left w:val="nil"/>
              <w:bottom w:val="single" w:sz="4" w:space="0" w:color="909090"/>
              <w:right w:val="single" w:sz="4" w:space="0" w:color="909090"/>
            </w:tcBorders>
            <w:shd w:val="clear" w:color="auto" w:fill="FFFFFF" w:themeFill="background1"/>
            <w:vAlign w:val="center"/>
          </w:tcPr>
          <w:p w14:paraId="54E0FF91" w14:textId="632DBD25" w:rsidR="5A81FA04" w:rsidRDefault="5A81FA04" w:rsidP="008511C1">
            <w:pPr>
              <w:jc w:val="center"/>
              <w:rPr>
                <w:rFonts w:ascii="Calibri" w:hAnsi="Calibri" w:cs="Calibri"/>
                <w:color w:val="000000" w:themeColor="text1"/>
              </w:rPr>
            </w:pPr>
            <w:r w:rsidRPr="22E6DB4E">
              <w:rPr>
                <w:rFonts w:ascii="Calibri" w:hAnsi="Calibri" w:cs="Calibri"/>
                <w:color w:val="000000" w:themeColor="text1"/>
              </w:rPr>
              <w:t>3</w:t>
            </w:r>
          </w:p>
        </w:tc>
      </w:tr>
    </w:tbl>
    <w:p w14:paraId="4F8F800B" w14:textId="77777777" w:rsidR="00303A84" w:rsidRDefault="00303A84" w:rsidP="00BD3818">
      <w:pPr>
        <w:spacing w:before="0" w:after="0"/>
        <w:ind w:left="720"/>
        <w:rPr>
          <w:b/>
          <w:bCs/>
          <w:color w:val="000000" w:themeColor="text1"/>
          <w:sz w:val="18"/>
          <w:szCs w:val="18"/>
          <w:u w:val="single"/>
        </w:rPr>
      </w:pPr>
    </w:p>
    <w:p w14:paraId="1D0069D7" w14:textId="652081DD" w:rsidR="008511C1" w:rsidRDefault="00BD3818" w:rsidP="00303A84">
      <w:pPr>
        <w:spacing w:before="0" w:after="0"/>
        <w:ind w:left="720"/>
      </w:pPr>
      <w:r>
        <w:rPr>
          <w:b/>
          <w:bCs/>
          <w:color w:val="000000" w:themeColor="text1"/>
          <w:sz w:val="18"/>
          <w:szCs w:val="18"/>
          <w:u w:val="single"/>
        </w:rPr>
        <w:t xml:space="preserve">Tables 2: </w:t>
      </w:r>
      <w:r>
        <w:rPr>
          <w:bCs/>
          <w:color w:val="000000" w:themeColor="text1"/>
          <w:sz w:val="18"/>
          <w:szCs w:val="18"/>
        </w:rPr>
        <w:t>End of Life Care provided</w:t>
      </w:r>
    </w:p>
    <w:p w14:paraId="1110E014" w14:textId="77777777" w:rsidR="008511C1" w:rsidRDefault="008511C1" w:rsidP="009D5B33">
      <w:pPr>
        <w:jc w:val="center"/>
      </w:pPr>
    </w:p>
    <w:p w14:paraId="4AC1B5C7" w14:textId="77777777" w:rsidR="008511C1" w:rsidRDefault="008511C1" w:rsidP="009D5B33">
      <w:pPr>
        <w:jc w:val="center"/>
      </w:pPr>
    </w:p>
    <w:p w14:paraId="117044E5" w14:textId="77777777" w:rsidR="008511C1" w:rsidRDefault="008511C1" w:rsidP="009D5B33">
      <w:pPr>
        <w:jc w:val="center"/>
      </w:pPr>
    </w:p>
    <w:p w14:paraId="44EFEC82" w14:textId="77777777" w:rsidR="008511C1" w:rsidRDefault="008511C1" w:rsidP="009D5B33">
      <w:pPr>
        <w:jc w:val="center"/>
      </w:pPr>
    </w:p>
    <w:p w14:paraId="196FDAAF" w14:textId="77777777" w:rsidR="008511C1" w:rsidRDefault="008511C1" w:rsidP="009D5B33">
      <w:pPr>
        <w:jc w:val="center"/>
      </w:pPr>
    </w:p>
    <w:p w14:paraId="755E0246" w14:textId="77777777" w:rsidR="008511C1" w:rsidRDefault="008511C1" w:rsidP="009D5B33">
      <w:pPr>
        <w:jc w:val="center"/>
      </w:pPr>
    </w:p>
    <w:p w14:paraId="7C70C8FE" w14:textId="77777777" w:rsidR="008511C1" w:rsidRDefault="008511C1" w:rsidP="009D5B33">
      <w:pPr>
        <w:jc w:val="center"/>
      </w:pPr>
    </w:p>
    <w:tbl>
      <w:tblPr>
        <w:tblpPr w:leftFromText="180" w:rightFromText="180" w:vertAnchor="text" w:horzAnchor="page" w:tblpX="1438" w:tblpY="-2615"/>
        <w:tblW w:w="4565" w:type="dxa"/>
        <w:tblLook w:val="04A0" w:firstRow="1" w:lastRow="0" w:firstColumn="1" w:lastColumn="0" w:noHBand="0" w:noVBand="1"/>
      </w:tblPr>
      <w:tblGrid>
        <w:gridCol w:w="1174"/>
        <w:gridCol w:w="1133"/>
        <w:gridCol w:w="1133"/>
        <w:gridCol w:w="1125"/>
      </w:tblGrid>
      <w:tr w:rsidR="009D5B33" w14:paraId="34D29114" w14:textId="77777777" w:rsidTr="00E76A8F">
        <w:trPr>
          <w:trHeight w:val="300"/>
        </w:trPr>
        <w:tc>
          <w:tcPr>
            <w:tcW w:w="3440" w:type="dxa"/>
            <w:gridSpan w:val="3"/>
            <w:tcBorders>
              <w:top w:val="nil"/>
              <w:left w:val="nil"/>
              <w:bottom w:val="single" w:sz="4" w:space="0" w:color="909090"/>
              <w:right w:val="nil"/>
            </w:tcBorders>
            <w:shd w:val="clear" w:color="auto" w:fill="002060"/>
            <w:noWrap/>
            <w:vAlign w:val="center"/>
            <w:hideMark/>
          </w:tcPr>
          <w:p w14:paraId="3ED5035B" w14:textId="77777777" w:rsidR="009D5B33" w:rsidRPr="00034607" w:rsidRDefault="009D5B33" w:rsidP="00E76A8F">
            <w:pPr>
              <w:spacing w:before="0" w:after="0"/>
              <w:jc w:val="center"/>
              <w:rPr>
                <w:rFonts w:ascii="Calibri" w:hAnsi="Calibri" w:cs="Calibri"/>
                <w:b/>
                <w:bCs/>
                <w:color w:val="FFFFFF"/>
                <w:szCs w:val="22"/>
              </w:rPr>
            </w:pPr>
            <w:r>
              <w:rPr>
                <w:rFonts w:ascii="Calibri" w:hAnsi="Calibri" w:cs="Calibri"/>
                <w:b/>
                <w:bCs/>
                <w:color w:val="FFFFFF"/>
                <w:szCs w:val="22"/>
              </w:rPr>
              <w:t>Pa</w:t>
            </w:r>
            <w:r w:rsidRPr="00034607">
              <w:rPr>
                <w:rFonts w:ascii="Calibri" w:hAnsi="Calibri" w:cs="Calibri"/>
                <w:b/>
                <w:bCs/>
                <w:color w:val="FFFFFF"/>
                <w:szCs w:val="22"/>
              </w:rPr>
              <w:t>tient Record Quality</w:t>
            </w:r>
          </w:p>
        </w:tc>
        <w:tc>
          <w:tcPr>
            <w:tcW w:w="1125" w:type="dxa"/>
            <w:tcBorders>
              <w:top w:val="nil"/>
              <w:left w:val="nil"/>
              <w:bottom w:val="single" w:sz="4" w:space="0" w:color="909090"/>
              <w:right w:val="nil"/>
            </w:tcBorders>
            <w:shd w:val="clear" w:color="auto" w:fill="002060"/>
            <w:vAlign w:val="center"/>
          </w:tcPr>
          <w:p w14:paraId="0CEE80DF" w14:textId="77777777" w:rsidR="009D5B33" w:rsidRDefault="009D5B33" w:rsidP="00E76A8F">
            <w:pPr>
              <w:jc w:val="center"/>
              <w:rPr>
                <w:rFonts w:ascii="Calibri" w:hAnsi="Calibri" w:cs="Calibri"/>
                <w:b/>
                <w:bCs/>
                <w:color w:val="FFFFFF" w:themeColor="background1"/>
              </w:rPr>
            </w:pPr>
          </w:p>
        </w:tc>
      </w:tr>
      <w:tr w:rsidR="009D5B33" w14:paraId="4731B279" w14:textId="77777777" w:rsidTr="00E76A8F">
        <w:trPr>
          <w:trHeight w:val="300"/>
        </w:trPr>
        <w:tc>
          <w:tcPr>
            <w:tcW w:w="1174" w:type="dxa"/>
            <w:tcBorders>
              <w:top w:val="nil"/>
              <w:left w:val="single" w:sz="4" w:space="0" w:color="909090"/>
              <w:bottom w:val="single" w:sz="4" w:space="0" w:color="909090"/>
              <w:right w:val="single" w:sz="4" w:space="0" w:color="909090"/>
            </w:tcBorders>
            <w:shd w:val="clear" w:color="auto" w:fill="779EC1"/>
            <w:noWrap/>
            <w:vAlign w:val="center"/>
            <w:hideMark/>
          </w:tcPr>
          <w:p w14:paraId="0D146A3C" w14:textId="77777777" w:rsidR="009D5B33" w:rsidRPr="00034607" w:rsidRDefault="009D5B33" w:rsidP="00E76A8F">
            <w:pPr>
              <w:spacing w:before="0" w:after="0"/>
              <w:ind w:left="-5208" w:firstLine="5208"/>
              <w:jc w:val="center"/>
              <w:rPr>
                <w:rFonts w:ascii="Calibri" w:hAnsi="Calibri" w:cs="Calibri"/>
                <w:color w:val="000000"/>
                <w:szCs w:val="22"/>
              </w:rPr>
            </w:pPr>
          </w:p>
        </w:tc>
        <w:tc>
          <w:tcPr>
            <w:tcW w:w="1133" w:type="dxa"/>
            <w:tcBorders>
              <w:top w:val="nil"/>
              <w:left w:val="nil"/>
              <w:bottom w:val="single" w:sz="4" w:space="0" w:color="909090"/>
              <w:right w:val="single" w:sz="4" w:space="0" w:color="909090"/>
            </w:tcBorders>
            <w:shd w:val="clear" w:color="auto" w:fill="8AACCA"/>
            <w:noWrap/>
            <w:vAlign w:val="center"/>
            <w:hideMark/>
          </w:tcPr>
          <w:p w14:paraId="633C3B96"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24/25 Q1</w:t>
            </w:r>
          </w:p>
        </w:tc>
        <w:tc>
          <w:tcPr>
            <w:tcW w:w="1133" w:type="dxa"/>
            <w:tcBorders>
              <w:top w:val="nil"/>
              <w:left w:val="nil"/>
              <w:bottom w:val="single" w:sz="4" w:space="0" w:color="909090"/>
              <w:right w:val="single" w:sz="4" w:space="0" w:color="909090"/>
            </w:tcBorders>
            <w:shd w:val="clear" w:color="auto" w:fill="8AACCA"/>
            <w:noWrap/>
            <w:vAlign w:val="center"/>
            <w:hideMark/>
          </w:tcPr>
          <w:p w14:paraId="18C6E7C0"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24/25 Q2</w:t>
            </w:r>
          </w:p>
        </w:tc>
        <w:tc>
          <w:tcPr>
            <w:tcW w:w="1125" w:type="dxa"/>
            <w:tcBorders>
              <w:top w:val="nil"/>
              <w:left w:val="nil"/>
              <w:bottom w:val="single" w:sz="4" w:space="0" w:color="909090"/>
              <w:right w:val="single" w:sz="4" w:space="0" w:color="909090"/>
            </w:tcBorders>
            <w:shd w:val="clear" w:color="auto" w:fill="8AACCA"/>
            <w:vAlign w:val="center"/>
          </w:tcPr>
          <w:p w14:paraId="21B566B3" w14:textId="20E3ACAC" w:rsidR="009D5B33" w:rsidRDefault="001B1BC2" w:rsidP="00E76A8F">
            <w:pPr>
              <w:jc w:val="center"/>
              <w:rPr>
                <w:rFonts w:ascii="Calibri" w:hAnsi="Calibri" w:cs="Calibri"/>
                <w:color w:val="000000" w:themeColor="text1"/>
              </w:rPr>
            </w:pPr>
            <w:r>
              <w:rPr>
                <w:rFonts w:ascii="Calibri" w:hAnsi="Calibri" w:cs="Calibri"/>
                <w:color w:val="000000" w:themeColor="text1"/>
              </w:rPr>
              <w:t>24/25 Q3</w:t>
            </w:r>
          </w:p>
        </w:tc>
      </w:tr>
      <w:tr w:rsidR="009D5B33" w14:paraId="7FC7B701" w14:textId="77777777" w:rsidTr="00E76A8F">
        <w:trPr>
          <w:trHeight w:val="300"/>
        </w:trPr>
        <w:tc>
          <w:tcPr>
            <w:tcW w:w="1174" w:type="dxa"/>
            <w:tcBorders>
              <w:top w:val="nil"/>
              <w:left w:val="single" w:sz="4" w:space="0" w:color="909090"/>
              <w:bottom w:val="single" w:sz="4" w:space="0" w:color="909090"/>
              <w:right w:val="single" w:sz="4" w:space="0" w:color="909090"/>
            </w:tcBorders>
            <w:shd w:val="clear" w:color="auto" w:fill="8AACCA"/>
            <w:noWrap/>
            <w:vAlign w:val="center"/>
            <w:hideMark/>
          </w:tcPr>
          <w:p w14:paraId="5898B6CE"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Good</w:t>
            </w:r>
          </w:p>
        </w:tc>
        <w:tc>
          <w:tcPr>
            <w:tcW w:w="1133" w:type="dxa"/>
            <w:tcBorders>
              <w:top w:val="nil"/>
              <w:left w:val="nil"/>
              <w:bottom w:val="single" w:sz="4" w:space="0" w:color="909090"/>
              <w:right w:val="single" w:sz="4" w:space="0" w:color="909090"/>
            </w:tcBorders>
            <w:shd w:val="clear" w:color="auto" w:fill="FFFFFF" w:themeFill="background1"/>
            <w:noWrap/>
            <w:vAlign w:val="center"/>
            <w:hideMark/>
          </w:tcPr>
          <w:p w14:paraId="75A9D76C"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14</w:t>
            </w:r>
          </w:p>
        </w:tc>
        <w:tc>
          <w:tcPr>
            <w:tcW w:w="1133" w:type="dxa"/>
            <w:tcBorders>
              <w:top w:val="nil"/>
              <w:left w:val="nil"/>
              <w:bottom w:val="single" w:sz="4" w:space="0" w:color="909090"/>
              <w:right w:val="single" w:sz="4" w:space="0" w:color="909090"/>
            </w:tcBorders>
            <w:shd w:val="clear" w:color="auto" w:fill="FFFFFF" w:themeFill="background1"/>
            <w:noWrap/>
            <w:vAlign w:val="center"/>
            <w:hideMark/>
          </w:tcPr>
          <w:p w14:paraId="0FBA3B3B"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12</w:t>
            </w:r>
          </w:p>
        </w:tc>
        <w:tc>
          <w:tcPr>
            <w:tcW w:w="1125" w:type="dxa"/>
            <w:tcBorders>
              <w:top w:val="nil"/>
              <w:left w:val="nil"/>
              <w:bottom w:val="single" w:sz="4" w:space="0" w:color="909090"/>
              <w:right w:val="single" w:sz="4" w:space="0" w:color="909090"/>
            </w:tcBorders>
            <w:shd w:val="clear" w:color="auto" w:fill="FFFFFF" w:themeFill="background1"/>
            <w:vAlign w:val="center"/>
          </w:tcPr>
          <w:p w14:paraId="767EF69C" w14:textId="77777777" w:rsidR="009D5B33" w:rsidRDefault="009D5B33" w:rsidP="00E76A8F">
            <w:pPr>
              <w:jc w:val="center"/>
              <w:rPr>
                <w:rFonts w:ascii="Calibri" w:hAnsi="Calibri" w:cs="Calibri"/>
                <w:color w:val="000000" w:themeColor="text1"/>
              </w:rPr>
            </w:pPr>
            <w:r w:rsidRPr="22E6DB4E">
              <w:rPr>
                <w:rFonts w:ascii="Calibri" w:hAnsi="Calibri" w:cs="Calibri"/>
                <w:color w:val="000000" w:themeColor="text1"/>
              </w:rPr>
              <w:t>18</w:t>
            </w:r>
          </w:p>
        </w:tc>
      </w:tr>
      <w:tr w:rsidR="009D5B33" w14:paraId="5450B825" w14:textId="77777777" w:rsidTr="00E76A8F">
        <w:trPr>
          <w:trHeight w:val="300"/>
        </w:trPr>
        <w:tc>
          <w:tcPr>
            <w:tcW w:w="1174" w:type="dxa"/>
            <w:tcBorders>
              <w:top w:val="nil"/>
              <w:left w:val="single" w:sz="4" w:space="0" w:color="909090"/>
              <w:bottom w:val="single" w:sz="4" w:space="0" w:color="909090"/>
              <w:right w:val="single" w:sz="4" w:space="0" w:color="909090"/>
            </w:tcBorders>
            <w:shd w:val="clear" w:color="auto" w:fill="8AACCA"/>
            <w:noWrap/>
            <w:vAlign w:val="center"/>
            <w:hideMark/>
          </w:tcPr>
          <w:p w14:paraId="2BC496C7"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Adequate</w:t>
            </w:r>
          </w:p>
        </w:tc>
        <w:tc>
          <w:tcPr>
            <w:tcW w:w="1133" w:type="dxa"/>
            <w:tcBorders>
              <w:top w:val="nil"/>
              <w:left w:val="nil"/>
              <w:bottom w:val="single" w:sz="4" w:space="0" w:color="909090"/>
              <w:right w:val="single" w:sz="4" w:space="0" w:color="909090"/>
            </w:tcBorders>
            <w:shd w:val="clear" w:color="auto" w:fill="FFFFFF" w:themeFill="background1"/>
            <w:noWrap/>
            <w:vAlign w:val="center"/>
            <w:hideMark/>
          </w:tcPr>
          <w:p w14:paraId="2FD91C0C"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5</w:t>
            </w:r>
          </w:p>
        </w:tc>
        <w:tc>
          <w:tcPr>
            <w:tcW w:w="1133" w:type="dxa"/>
            <w:tcBorders>
              <w:top w:val="nil"/>
              <w:left w:val="nil"/>
              <w:bottom w:val="single" w:sz="4" w:space="0" w:color="909090"/>
              <w:right w:val="single" w:sz="4" w:space="0" w:color="909090"/>
            </w:tcBorders>
            <w:shd w:val="clear" w:color="auto" w:fill="FFFFFF" w:themeFill="background1"/>
            <w:noWrap/>
            <w:vAlign w:val="center"/>
            <w:hideMark/>
          </w:tcPr>
          <w:p w14:paraId="3715C456"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6</w:t>
            </w:r>
          </w:p>
        </w:tc>
        <w:tc>
          <w:tcPr>
            <w:tcW w:w="1125" w:type="dxa"/>
            <w:tcBorders>
              <w:top w:val="nil"/>
              <w:left w:val="nil"/>
              <w:bottom w:val="single" w:sz="4" w:space="0" w:color="909090"/>
              <w:right w:val="single" w:sz="4" w:space="0" w:color="909090"/>
            </w:tcBorders>
            <w:shd w:val="clear" w:color="auto" w:fill="FFFFFF" w:themeFill="background1"/>
            <w:vAlign w:val="center"/>
          </w:tcPr>
          <w:p w14:paraId="5919F820" w14:textId="77777777" w:rsidR="009D5B33" w:rsidRDefault="009D5B33" w:rsidP="00E76A8F">
            <w:pPr>
              <w:jc w:val="center"/>
              <w:rPr>
                <w:rFonts w:ascii="Calibri" w:hAnsi="Calibri" w:cs="Calibri"/>
                <w:color w:val="000000" w:themeColor="text1"/>
              </w:rPr>
            </w:pPr>
            <w:r w:rsidRPr="22E6DB4E">
              <w:rPr>
                <w:rFonts w:ascii="Calibri" w:hAnsi="Calibri" w:cs="Calibri"/>
                <w:color w:val="000000" w:themeColor="text1"/>
              </w:rPr>
              <w:t>2</w:t>
            </w:r>
          </w:p>
        </w:tc>
      </w:tr>
      <w:tr w:rsidR="009D5B33" w14:paraId="20C431D1" w14:textId="77777777" w:rsidTr="00E76A8F">
        <w:trPr>
          <w:trHeight w:val="300"/>
        </w:trPr>
        <w:tc>
          <w:tcPr>
            <w:tcW w:w="1174" w:type="dxa"/>
            <w:tcBorders>
              <w:top w:val="nil"/>
              <w:left w:val="single" w:sz="4" w:space="0" w:color="909090"/>
              <w:bottom w:val="single" w:sz="4" w:space="0" w:color="909090"/>
              <w:right w:val="single" w:sz="4" w:space="0" w:color="909090"/>
            </w:tcBorders>
            <w:shd w:val="clear" w:color="auto" w:fill="8AACCA"/>
            <w:noWrap/>
            <w:vAlign w:val="center"/>
            <w:hideMark/>
          </w:tcPr>
          <w:p w14:paraId="37B53916"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Excellent</w:t>
            </w:r>
          </w:p>
        </w:tc>
        <w:tc>
          <w:tcPr>
            <w:tcW w:w="1133" w:type="dxa"/>
            <w:tcBorders>
              <w:top w:val="nil"/>
              <w:left w:val="nil"/>
              <w:bottom w:val="single" w:sz="4" w:space="0" w:color="909090"/>
              <w:right w:val="single" w:sz="4" w:space="0" w:color="909090"/>
            </w:tcBorders>
            <w:shd w:val="clear" w:color="auto" w:fill="FFFFFF" w:themeFill="background1"/>
            <w:noWrap/>
            <w:vAlign w:val="center"/>
            <w:hideMark/>
          </w:tcPr>
          <w:p w14:paraId="3E5BCC12"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0</w:t>
            </w:r>
          </w:p>
        </w:tc>
        <w:tc>
          <w:tcPr>
            <w:tcW w:w="1133" w:type="dxa"/>
            <w:tcBorders>
              <w:top w:val="nil"/>
              <w:left w:val="nil"/>
              <w:bottom w:val="single" w:sz="4" w:space="0" w:color="909090"/>
              <w:right w:val="single" w:sz="4" w:space="0" w:color="909090"/>
            </w:tcBorders>
            <w:shd w:val="clear" w:color="auto" w:fill="FFFFFF" w:themeFill="background1"/>
            <w:noWrap/>
            <w:vAlign w:val="center"/>
            <w:hideMark/>
          </w:tcPr>
          <w:p w14:paraId="62B0A887" w14:textId="77777777" w:rsidR="009D5B33" w:rsidRPr="00034607" w:rsidRDefault="009D5B33" w:rsidP="00E76A8F">
            <w:pPr>
              <w:spacing w:before="0" w:after="0"/>
              <w:jc w:val="center"/>
              <w:rPr>
                <w:rFonts w:ascii="Calibri" w:hAnsi="Calibri" w:cs="Calibri"/>
                <w:color w:val="000000"/>
                <w:szCs w:val="22"/>
              </w:rPr>
            </w:pPr>
            <w:r w:rsidRPr="00034607">
              <w:rPr>
                <w:rFonts w:ascii="Calibri" w:hAnsi="Calibri" w:cs="Calibri"/>
                <w:color w:val="000000"/>
                <w:szCs w:val="22"/>
              </w:rPr>
              <w:t>1</w:t>
            </w:r>
          </w:p>
        </w:tc>
        <w:tc>
          <w:tcPr>
            <w:tcW w:w="1125" w:type="dxa"/>
            <w:tcBorders>
              <w:top w:val="nil"/>
              <w:left w:val="nil"/>
              <w:bottom w:val="single" w:sz="4" w:space="0" w:color="909090"/>
              <w:right w:val="single" w:sz="4" w:space="0" w:color="909090"/>
            </w:tcBorders>
            <w:shd w:val="clear" w:color="auto" w:fill="FFFFFF" w:themeFill="background1"/>
            <w:vAlign w:val="center"/>
          </w:tcPr>
          <w:p w14:paraId="2E3E22A7" w14:textId="77777777" w:rsidR="009D5B33" w:rsidRDefault="009D5B33" w:rsidP="00E76A8F">
            <w:pPr>
              <w:jc w:val="center"/>
              <w:rPr>
                <w:rFonts w:ascii="Calibri" w:hAnsi="Calibri" w:cs="Calibri"/>
                <w:color w:val="000000" w:themeColor="text1"/>
              </w:rPr>
            </w:pPr>
            <w:r w:rsidRPr="22E6DB4E">
              <w:rPr>
                <w:rFonts w:ascii="Calibri" w:hAnsi="Calibri" w:cs="Calibri"/>
                <w:color w:val="000000" w:themeColor="text1"/>
              </w:rPr>
              <w:t>1</w:t>
            </w:r>
          </w:p>
        </w:tc>
      </w:tr>
    </w:tbl>
    <w:p w14:paraId="5165E794" w14:textId="77777777" w:rsidR="009D5B33" w:rsidRDefault="009D5B33" w:rsidP="009D5B33">
      <w:pPr>
        <w:jc w:val="center"/>
      </w:pPr>
    </w:p>
    <w:p w14:paraId="266C81E1" w14:textId="77777777" w:rsidR="009D5B33" w:rsidRDefault="009D5B33" w:rsidP="009D5B33">
      <w:pPr>
        <w:jc w:val="left"/>
      </w:pPr>
    </w:p>
    <w:p w14:paraId="1D9807D0" w14:textId="52D31B53" w:rsidR="00034607" w:rsidRPr="002771BA" w:rsidRDefault="002771BA" w:rsidP="00C07DDA">
      <w:pPr>
        <w:spacing w:before="0" w:after="0"/>
        <w:ind w:left="720"/>
        <w:rPr>
          <w:bCs/>
          <w:color w:val="000000" w:themeColor="text1"/>
          <w:sz w:val="18"/>
          <w:szCs w:val="18"/>
        </w:rPr>
      </w:pPr>
      <w:r>
        <w:rPr>
          <w:b/>
          <w:bCs/>
          <w:color w:val="000000" w:themeColor="text1"/>
          <w:sz w:val="18"/>
          <w:szCs w:val="18"/>
          <w:u w:val="single"/>
        </w:rPr>
        <w:t xml:space="preserve">Tables 3: </w:t>
      </w:r>
      <w:r>
        <w:rPr>
          <w:bCs/>
          <w:color w:val="000000" w:themeColor="text1"/>
          <w:sz w:val="18"/>
          <w:szCs w:val="18"/>
        </w:rPr>
        <w:t>Quality of Patient Records</w:t>
      </w:r>
    </w:p>
    <w:p w14:paraId="31B1BB83" w14:textId="2C534E62" w:rsidR="00034607" w:rsidRDefault="00034607" w:rsidP="00C07DDA">
      <w:pPr>
        <w:spacing w:before="0" w:after="0"/>
        <w:ind w:left="720"/>
        <w:rPr>
          <w:b/>
          <w:bCs/>
          <w:color w:val="000000" w:themeColor="text1"/>
          <w:sz w:val="18"/>
          <w:szCs w:val="18"/>
          <w:u w:val="single"/>
        </w:rPr>
      </w:pPr>
    </w:p>
    <w:p w14:paraId="29B5DE51" w14:textId="411E8AEA" w:rsidR="002C7C31" w:rsidRDefault="002C7C31" w:rsidP="00C07DDA">
      <w:pPr>
        <w:spacing w:before="0" w:after="0"/>
        <w:ind w:left="720"/>
        <w:rPr>
          <w:b/>
          <w:bCs/>
          <w:color w:val="000000" w:themeColor="text1"/>
          <w:sz w:val="18"/>
          <w:szCs w:val="18"/>
          <w:u w:val="single"/>
        </w:rPr>
      </w:pPr>
    </w:p>
    <w:p w14:paraId="4BC40368" w14:textId="39C382CD" w:rsidR="002C7C31" w:rsidRDefault="002C7C31" w:rsidP="00C07DDA">
      <w:pPr>
        <w:spacing w:before="0" w:after="0"/>
        <w:ind w:left="720"/>
        <w:rPr>
          <w:b/>
          <w:bCs/>
          <w:color w:val="000000" w:themeColor="text1"/>
          <w:sz w:val="18"/>
          <w:szCs w:val="18"/>
          <w:u w:val="single"/>
        </w:rPr>
      </w:pPr>
    </w:p>
    <w:p w14:paraId="1C7DBA08" w14:textId="098F4EF8" w:rsidR="002C7C31" w:rsidRDefault="00BE5BDB" w:rsidP="00BE5BDB">
      <w:pPr>
        <w:spacing w:before="0" w:after="0"/>
        <w:rPr>
          <w:bCs/>
          <w:color w:val="000000" w:themeColor="text1"/>
          <w:szCs w:val="22"/>
        </w:rPr>
      </w:pPr>
      <w:r>
        <w:rPr>
          <w:bCs/>
          <w:color w:val="000000" w:themeColor="text1"/>
          <w:szCs w:val="22"/>
        </w:rPr>
        <w:t xml:space="preserve">Another new section of the Datix SJR is the ability for the review to identify any positive or negative learning points from the cases. These are shared with the clinicians via the regular Medical Directorate newsletter. Positive themes this quarter related to </w:t>
      </w:r>
      <w:r w:rsidR="00A20E52">
        <w:rPr>
          <w:bCs/>
          <w:color w:val="000000" w:themeColor="text1"/>
          <w:szCs w:val="22"/>
        </w:rPr>
        <w:t xml:space="preserve">wider use of the whole </w:t>
      </w:r>
      <w:r w:rsidR="005A6BAB">
        <w:rPr>
          <w:bCs/>
          <w:color w:val="000000" w:themeColor="text1"/>
          <w:szCs w:val="22"/>
        </w:rPr>
        <w:t xml:space="preserve">multi-disciplinary team to enhance care, the impact of advanced care planning and the </w:t>
      </w:r>
      <w:r w:rsidR="00373FC9">
        <w:rPr>
          <w:bCs/>
          <w:color w:val="000000" w:themeColor="text1"/>
          <w:szCs w:val="22"/>
        </w:rPr>
        <w:t>contribution from the Palliative Care Team even when a patient is not in the last days of life.</w:t>
      </w:r>
      <w:r>
        <w:rPr>
          <w:bCs/>
          <w:color w:val="000000" w:themeColor="text1"/>
          <w:szCs w:val="22"/>
        </w:rPr>
        <w:t xml:space="preserve"> Negative themes include </w:t>
      </w:r>
      <w:r w:rsidR="00373FC9">
        <w:rPr>
          <w:bCs/>
          <w:color w:val="000000" w:themeColor="text1"/>
          <w:szCs w:val="22"/>
        </w:rPr>
        <w:t>ensuring documentation of clinical encounters is thorough</w:t>
      </w:r>
      <w:r w:rsidR="00477915">
        <w:rPr>
          <w:bCs/>
          <w:color w:val="000000" w:themeColor="text1"/>
          <w:szCs w:val="22"/>
        </w:rPr>
        <w:t xml:space="preserve"> and ensuring sepsis care is optimised. The latter is being addresses by </w:t>
      </w:r>
      <w:r w:rsidR="00BE7DD1">
        <w:rPr>
          <w:bCs/>
          <w:color w:val="000000" w:themeColor="text1"/>
          <w:szCs w:val="22"/>
        </w:rPr>
        <w:t>the Deteriorating Patient Group.</w:t>
      </w:r>
    </w:p>
    <w:p w14:paraId="5E12B791" w14:textId="0F19155D" w:rsidR="00BE5BDB" w:rsidRDefault="00BE5BDB" w:rsidP="00BE5BDB">
      <w:pPr>
        <w:spacing w:before="0" w:after="0"/>
        <w:rPr>
          <w:bCs/>
          <w:color w:val="000000" w:themeColor="text1"/>
          <w:szCs w:val="22"/>
        </w:rPr>
      </w:pPr>
    </w:p>
    <w:p w14:paraId="79041A5D" w14:textId="16E1C962" w:rsidR="002C7C31" w:rsidRDefault="00BE5BDB" w:rsidP="004C3205">
      <w:pPr>
        <w:spacing w:before="0" w:after="0"/>
        <w:rPr>
          <w:b/>
          <w:bCs/>
          <w:color w:val="000000" w:themeColor="text1"/>
          <w:sz w:val="18"/>
          <w:szCs w:val="18"/>
          <w:u w:val="single"/>
        </w:rPr>
      </w:pPr>
      <w:r>
        <w:rPr>
          <w:bCs/>
          <w:color w:val="000000" w:themeColor="text1"/>
          <w:szCs w:val="22"/>
        </w:rPr>
        <w:t xml:space="preserve">The Medical Examiner team have </w:t>
      </w:r>
      <w:r w:rsidR="004C3205">
        <w:rPr>
          <w:bCs/>
          <w:color w:val="000000" w:themeColor="text1"/>
          <w:szCs w:val="22"/>
        </w:rPr>
        <w:t>not identified any emerging concerns in the last quarter.</w:t>
      </w:r>
    </w:p>
    <w:p w14:paraId="60EF05F9" w14:textId="4CC515E5" w:rsidR="002C7C31" w:rsidRDefault="002C7C31" w:rsidP="00C07DDA">
      <w:pPr>
        <w:spacing w:before="0" w:after="0"/>
        <w:ind w:left="720"/>
        <w:rPr>
          <w:b/>
          <w:bCs/>
          <w:color w:val="000000" w:themeColor="text1"/>
          <w:sz w:val="18"/>
          <w:szCs w:val="18"/>
          <w:u w:val="single"/>
        </w:rPr>
      </w:pPr>
    </w:p>
    <w:p w14:paraId="3EFC2D7E" w14:textId="6B6A0D5C" w:rsidR="002C7C31" w:rsidRDefault="002C7C31" w:rsidP="00C07DDA">
      <w:pPr>
        <w:spacing w:before="0" w:after="0"/>
        <w:ind w:left="720"/>
        <w:rPr>
          <w:b/>
          <w:bCs/>
          <w:color w:val="000000" w:themeColor="text1"/>
          <w:sz w:val="18"/>
          <w:szCs w:val="18"/>
          <w:u w:val="single"/>
        </w:rPr>
      </w:pPr>
    </w:p>
    <w:p w14:paraId="5E8F8133" w14:textId="425C6841" w:rsidR="002C7C31" w:rsidRDefault="002C7C31" w:rsidP="00C07DDA">
      <w:pPr>
        <w:spacing w:before="0" w:after="0"/>
        <w:ind w:left="720"/>
        <w:rPr>
          <w:b/>
          <w:bCs/>
          <w:color w:val="000000" w:themeColor="text1"/>
          <w:sz w:val="18"/>
          <w:szCs w:val="18"/>
          <w:u w:val="single"/>
        </w:rPr>
      </w:pPr>
    </w:p>
    <w:p w14:paraId="6E186093" w14:textId="383DD4E0" w:rsidR="002C7C31" w:rsidRDefault="002C7C31" w:rsidP="00C07DDA">
      <w:pPr>
        <w:spacing w:before="0" w:after="0"/>
        <w:ind w:left="720"/>
        <w:rPr>
          <w:b/>
          <w:bCs/>
          <w:color w:val="000000" w:themeColor="text1"/>
          <w:sz w:val="18"/>
          <w:szCs w:val="18"/>
          <w:u w:val="single"/>
        </w:rPr>
      </w:pPr>
    </w:p>
    <w:p w14:paraId="1AFF08B2" w14:textId="77777777" w:rsidR="000F7ABD" w:rsidRDefault="000F7ABD" w:rsidP="00FC7431">
      <w:pPr>
        <w:spacing w:before="0" w:after="0"/>
        <w:jc w:val="left"/>
        <w:rPr>
          <w:rFonts w:cs="Arial"/>
          <w:b/>
          <w:bCs/>
          <w:sz w:val="18"/>
          <w:szCs w:val="18"/>
          <w:u w:val="single"/>
        </w:rPr>
      </w:pPr>
    </w:p>
    <w:p w14:paraId="4471D6FE" w14:textId="77777777" w:rsidR="000F7ABD" w:rsidRPr="00FC7431" w:rsidRDefault="000F7ABD" w:rsidP="00FC7431">
      <w:pPr>
        <w:spacing w:before="0" w:after="0"/>
        <w:jc w:val="left"/>
        <w:rPr>
          <w:rFonts w:cs="Arial"/>
          <w:b/>
          <w:bCs/>
          <w:sz w:val="18"/>
          <w:szCs w:val="18"/>
          <w:u w:val="single"/>
        </w:rPr>
      </w:pPr>
    </w:p>
    <w:p w14:paraId="1199AD31" w14:textId="77777777" w:rsidR="00880EE2" w:rsidRDefault="00880EE2" w:rsidP="00244B89">
      <w:pPr>
        <w:pStyle w:val="ListParagraph"/>
        <w:spacing w:before="0" w:after="0"/>
        <w:jc w:val="left"/>
        <w:rPr>
          <w:rFonts w:cs="Arial"/>
          <w:b/>
          <w:bCs/>
          <w:sz w:val="18"/>
          <w:szCs w:val="18"/>
          <w:u w:val="single"/>
        </w:rPr>
      </w:pPr>
    </w:p>
    <w:p w14:paraId="1F547FEE" w14:textId="77777777" w:rsidR="00CB7871" w:rsidRPr="00E00ADC" w:rsidRDefault="00CB7871" w:rsidP="001C290C">
      <w:pPr>
        <w:pStyle w:val="ListParagraph"/>
        <w:numPr>
          <w:ilvl w:val="0"/>
          <w:numId w:val="6"/>
        </w:numPr>
        <w:spacing w:before="0" w:after="0"/>
        <w:ind w:left="709" w:hanging="709"/>
        <w:rPr>
          <w:rFonts w:cs="Arial"/>
          <w:b/>
          <w:szCs w:val="22"/>
          <w:lang w:eastAsia="en-US"/>
        </w:rPr>
      </w:pPr>
      <w:r w:rsidRPr="00E00ADC">
        <w:rPr>
          <w:rFonts w:cs="Arial"/>
          <w:b/>
          <w:szCs w:val="22"/>
          <w:lang w:eastAsia="en-US"/>
        </w:rPr>
        <w:t>Recommendation</w:t>
      </w:r>
    </w:p>
    <w:p w14:paraId="07BC9DB7" w14:textId="77777777" w:rsidR="003832C0" w:rsidRPr="00504777" w:rsidRDefault="003832C0" w:rsidP="00C96E82">
      <w:pPr>
        <w:spacing w:before="0" w:after="0"/>
        <w:rPr>
          <w:rFonts w:cs="Arial"/>
          <w:szCs w:val="22"/>
          <w:lang w:eastAsia="en-US"/>
        </w:rPr>
      </w:pPr>
    </w:p>
    <w:p w14:paraId="481C723A" w14:textId="0AA72E51" w:rsidR="00FB0C91" w:rsidRPr="00FB0C91" w:rsidRDefault="00504777" w:rsidP="00E31596">
      <w:pPr>
        <w:spacing w:before="0" w:after="0"/>
        <w:rPr>
          <w:rFonts w:cs="Arial"/>
          <w:bCs/>
          <w:iCs/>
          <w:szCs w:val="22"/>
        </w:rPr>
      </w:pPr>
      <w:r w:rsidRPr="00504777">
        <w:rPr>
          <w:rFonts w:cs="Arial"/>
          <w:szCs w:val="22"/>
          <w:lang w:eastAsia="en-US"/>
        </w:rPr>
        <w:t>The Board is asked to note the contents of this report and the processes for ensuring learning from death</w:t>
      </w:r>
      <w:r w:rsidR="00FB0C91">
        <w:rPr>
          <w:rFonts w:cs="Arial"/>
          <w:szCs w:val="22"/>
          <w:lang w:eastAsia="en-US"/>
        </w:rPr>
        <w:t>s.</w:t>
      </w:r>
    </w:p>
    <w:sectPr w:rsidR="00FB0C91" w:rsidRPr="00FB0C91" w:rsidSect="00E00ADC">
      <w:headerReference w:type="default" r:id="rId21"/>
      <w:footerReference w:type="default" r:id="rId22"/>
      <w:headerReference w:type="first" r:id="rId23"/>
      <w:pgSz w:w="11906" w:h="16838"/>
      <w:pgMar w:top="1077" w:right="1440" w:bottom="107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cqueline Andrews" w:date="2025-01-31T08:58:00Z" w:initials="JA">
    <w:p w14:paraId="39C44443" w14:textId="2E22DB26" w:rsidR="006D1FB0" w:rsidRDefault="006D1FB0">
      <w:pPr>
        <w:pStyle w:val="CommentText"/>
      </w:pPr>
      <w:r>
        <w:rPr>
          <w:rStyle w:val="CommentReference"/>
        </w:rPr>
        <w:annotationRef/>
      </w:r>
      <w:r>
        <w:t>Is that all admission or just medical?</w:t>
      </w:r>
    </w:p>
  </w:comment>
  <w:comment w:id="2" w:author="Dave Earl" w:date="2025-02-04T08:27:00Z" w:initials="DE">
    <w:p w14:paraId="5DBFD20E" w14:textId="77777777" w:rsidR="00E3793B" w:rsidRDefault="00E3793B" w:rsidP="00E3793B">
      <w:pPr>
        <w:pStyle w:val="CommentText"/>
      </w:pPr>
      <w:r>
        <w:rPr>
          <w:rStyle w:val="CommentReference"/>
        </w:rPr>
        <w:annotationRef/>
      </w:r>
      <w:r>
        <w:t>Comments relate to medical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C44443" w15:done="0"/>
  <w15:commentEx w15:paraId="5DBFD20E" w15:paraIdParent="39C444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75F896" w16cex:dateUtc="2025-02-04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C44443" w16cid:durableId="39C44443"/>
  <w16cid:commentId w16cid:paraId="5DBFD20E" w16cid:durableId="4375F8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DD96" w14:textId="77777777" w:rsidR="00063970" w:rsidRDefault="00063970" w:rsidP="00752C76">
      <w:pPr>
        <w:spacing w:before="0" w:after="0"/>
      </w:pPr>
      <w:r>
        <w:separator/>
      </w:r>
    </w:p>
  </w:endnote>
  <w:endnote w:type="continuationSeparator" w:id="0">
    <w:p w14:paraId="16AF586A" w14:textId="77777777" w:rsidR="00063970" w:rsidRDefault="00063970" w:rsidP="00752C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3EAC" w14:textId="66D481EE" w:rsidR="00A713BA" w:rsidRDefault="00A713BA">
    <w:pPr>
      <w:pStyle w:val="Footer"/>
      <w:jc w:val="right"/>
    </w:pPr>
  </w:p>
  <w:p w14:paraId="099EF865" w14:textId="77777777" w:rsidR="00A713BA" w:rsidRDefault="00A71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3674A" w14:textId="77777777" w:rsidR="00063970" w:rsidRDefault="00063970" w:rsidP="00752C76">
      <w:pPr>
        <w:spacing w:before="0" w:after="0"/>
      </w:pPr>
      <w:r>
        <w:separator/>
      </w:r>
    </w:p>
  </w:footnote>
  <w:footnote w:type="continuationSeparator" w:id="0">
    <w:p w14:paraId="12A5E47D" w14:textId="77777777" w:rsidR="00063970" w:rsidRDefault="00063970" w:rsidP="00752C7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3D29" w14:textId="32E21F4F" w:rsidR="00A713BA" w:rsidRDefault="00A713BA" w:rsidP="00215D0D">
    <w:pPr>
      <w:pStyle w:val="Header"/>
      <w:jc w:val="right"/>
    </w:pPr>
    <w:r>
      <w:rPr>
        <w:noProof/>
      </w:rPr>
      <w:drawing>
        <wp:inline distT="0" distB="0" distL="0" distR="0" wp14:anchorId="25505197" wp14:editId="76298BB9">
          <wp:extent cx="2176145" cy="74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7499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65C12" w14:textId="77777777" w:rsidR="00A713BA" w:rsidRPr="00F22F81" w:rsidRDefault="00A713BA" w:rsidP="00F22F81">
    <w:pPr>
      <w:pStyle w:val="Header"/>
      <w:tabs>
        <w:tab w:val="clear" w:pos="4513"/>
        <w:tab w:val="clear" w:pos="9026"/>
        <w:tab w:val="left" w:pos="8115"/>
      </w:tabs>
      <w:jc w:val="right"/>
      <w:rPr>
        <w:sz w:val="24"/>
      </w:rPr>
    </w:pPr>
    <w:r w:rsidRPr="00F22F81">
      <w:rPr>
        <w:sz w:val="24"/>
      </w:rPr>
      <w:t>Agenda Item nn.n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00E"/>
    <w:multiLevelType w:val="multilevel"/>
    <w:tmpl w:val="F1F4AB24"/>
    <w:lvl w:ilvl="0">
      <w:start w:val="1"/>
      <w:numFmt w:val="decimal"/>
      <w:lvlText w:val="%1."/>
      <w:lvlJc w:val="left"/>
      <w:pPr>
        <w:tabs>
          <w:tab w:val="num" w:pos="360"/>
        </w:tabs>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3B1CF0"/>
    <w:multiLevelType w:val="hybridMultilevel"/>
    <w:tmpl w:val="9D96FEEA"/>
    <w:lvl w:ilvl="0" w:tplc="0809000F">
      <w:start w:val="1"/>
      <w:numFmt w:val="decimal"/>
      <w:lvlText w:val="%1."/>
      <w:lvlJc w:val="left"/>
      <w:pPr>
        <w:ind w:left="895" w:hanging="360"/>
      </w:p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2" w15:restartNumberingAfterBreak="0">
    <w:nsid w:val="095B07AC"/>
    <w:multiLevelType w:val="hybridMultilevel"/>
    <w:tmpl w:val="98486C1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270F3"/>
    <w:multiLevelType w:val="multilevel"/>
    <w:tmpl w:val="3508022A"/>
    <w:lvl w:ilvl="0">
      <w:start w:val="1"/>
      <w:numFmt w:val="decimal"/>
      <w:lvlText w:val="%1."/>
      <w:lvlJc w:val="left"/>
      <w:pPr>
        <w:tabs>
          <w:tab w:val="num" w:pos="720"/>
        </w:tabs>
        <w:ind w:left="720" w:hanging="360"/>
      </w:pPr>
      <w:rPr>
        <w:rFonts w:hint="default"/>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06A4687"/>
    <w:multiLevelType w:val="multilevel"/>
    <w:tmpl w:val="3508022A"/>
    <w:lvl w:ilvl="0">
      <w:start w:val="1"/>
      <w:numFmt w:val="decimal"/>
      <w:lvlText w:val="%1."/>
      <w:lvlJc w:val="left"/>
      <w:pPr>
        <w:tabs>
          <w:tab w:val="num" w:pos="720"/>
        </w:tabs>
        <w:ind w:left="720" w:hanging="360"/>
      </w:pPr>
      <w:rPr>
        <w:rFonts w:hint="default"/>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56F4D20"/>
    <w:multiLevelType w:val="multilevel"/>
    <w:tmpl w:val="B4800DC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7AB0C61"/>
    <w:multiLevelType w:val="hybridMultilevel"/>
    <w:tmpl w:val="0C2E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F4177"/>
    <w:multiLevelType w:val="hybridMultilevel"/>
    <w:tmpl w:val="D65C0D04"/>
    <w:lvl w:ilvl="0" w:tplc="06AA1D56">
      <w:start w:val="4"/>
      <w:numFmt w:val="bullet"/>
      <w:lvlText w:val="-"/>
      <w:lvlJc w:val="left"/>
      <w:pPr>
        <w:ind w:left="5400" w:hanging="360"/>
      </w:pPr>
      <w:rPr>
        <w:rFonts w:ascii="Arial" w:eastAsia="Times New Roman" w:hAnsi="Arial"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339E66EC"/>
    <w:multiLevelType w:val="multilevel"/>
    <w:tmpl w:val="3508022A"/>
    <w:lvl w:ilvl="0">
      <w:start w:val="1"/>
      <w:numFmt w:val="decimal"/>
      <w:lvlText w:val="%1."/>
      <w:lvlJc w:val="left"/>
      <w:pPr>
        <w:tabs>
          <w:tab w:val="num" w:pos="720"/>
        </w:tabs>
        <w:ind w:left="720" w:hanging="360"/>
      </w:pPr>
      <w:rPr>
        <w:rFonts w:hint="default"/>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00372C"/>
    <w:multiLevelType w:val="multilevel"/>
    <w:tmpl w:val="B774580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B9467BE"/>
    <w:multiLevelType w:val="hybridMultilevel"/>
    <w:tmpl w:val="629A192E"/>
    <w:lvl w:ilvl="0" w:tplc="06AA1D56">
      <w:start w:val="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49A013E"/>
    <w:multiLevelType w:val="multilevel"/>
    <w:tmpl w:val="925414B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2D086C"/>
    <w:multiLevelType w:val="hybridMultilevel"/>
    <w:tmpl w:val="4D44A29C"/>
    <w:lvl w:ilvl="0" w:tplc="251055C8">
      <w:start w:val="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322C2"/>
    <w:multiLevelType w:val="hybridMultilevel"/>
    <w:tmpl w:val="67CC8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B76127"/>
    <w:multiLevelType w:val="hybridMultilevel"/>
    <w:tmpl w:val="A290D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2C1BB9"/>
    <w:multiLevelType w:val="hybridMultilevel"/>
    <w:tmpl w:val="A06A6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593409"/>
    <w:multiLevelType w:val="hybridMultilevel"/>
    <w:tmpl w:val="08D8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A41AF"/>
    <w:multiLevelType w:val="hybridMultilevel"/>
    <w:tmpl w:val="B8C4C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EB3D86"/>
    <w:multiLevelType w:val="multilevel"/>
    <w:tmpl w:val="3508022A"/>
    <w:lvl w:ilvl="0">
      <w:start w:val="1"/>
      <w:numFmt w:val="decimal"/>
      <w:lvlText w:val="%1."/>
      <w:lvlJc w:val="left"/>
      <w:pPr>
        <w:tabs>
          <w:tab w:val="num" w:pos="720"/>
        </w:tabs>
        <w:ind w:left="720" w:hanging="360"/>
      </w:pPr>
      <w:rPr>
        <w:rFonts w:hint="default"/>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3"/>
  </w:num>
  <w:num w:numId="3">
    <w:abstractNumId w:val="15"/>
  </w:num>
  <w:num w:numId="4">
    <w:abstractNumId w:val="16"/>
  </w:num>
  <w:num w:numId="5">
    <w:abstractNumId w:val="6"/>
  </w:num>
  <w:num w:numId="6">
    <w:abstractNumId w:val="9"/>
  </w:num>
  <w:num w:numId="7">
    <w:abstractNumId w:val="3"/>
  </w:num>
  <w:num w:numId="8">
    <w:abstractNumId w:val="18"/>
  </w:num>
  <w:num w:numId="9">
    <w:abstractNumId w:val="8"/>
  </w:num>
  <w:num w:numId="10">
    <w:abstractNumId w:val="4"/>
  </w:num>
  <w:num w:numId="11">
    <w:abstractNumId w:val="17"/>
  </w:num>
  <w:num w:numId="12">
    <w:abstractNumId w:val="1"/>
  </w:num>
  <w:num w:numId="13">
    <w:abstractNumId w:val="11"/>
  </w:num>
  <w:num w:numId="14">
    <w:abstractNumId w:val="14"/>
  </w:num>
  <w:num w:numId="15">
    <w:abstractNumId w:val="12"/>
  </w:num>
  <w:num w:numId="16">
    <w:abstractNumId w:val="10"/>
  </w:num>
  <w:num w:numId="17">
    <w:abstractNumId w:val="5"/>
  </w:num>
  <w:num w:numId="18">
    <w:abstractNumId w:val="7"/>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queline Andrews">
    <w15:presenceInfo w15:providerId="AD" w15:userId="S-1-5-21-1214440339-287218729-1801674531-56885"/>
  </w15:person>
  <w15:person w15:author="Dave Earl">
    <w15:presenceInfo w15:providerId="Windows Live" w15:userId="03b06e32ba163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1"/>
    <w:rsid w:val="000025A8"/>
    <w:rsid w:val="00004BCF"/>
    <w:rsid w:val="000068D2"/>
    <w:rsid w:val="00007179"/>
    <w:rsid w:val="000072CE"/>
    <w:rsid w:val="000137C3"/>
    <w:rsid w:val="0001697A"/>
    <w:rsid w:val="000174EA"/>
    <w:rsid w:val="00022196"/>
    <w:rsid w:val="000257ED"/>
    <w:rsid w:val="000264E8"/>
    <w:rsid w:val="00026F19"/>
    <w:rsid w:val="00033C72"/>
    <w:rsid w:val="00034607"/>
    <w:rsid w:val="00035118"/>
    <w:rsid w:val="0003792F"/>
    <w:rsid w:val="0005187F"/>
    <w:rsid w:val="00063970"/>
    <w:rsid w:val="00070A0E"/>
    <w:rsid w:val="0007276B"/>
    <w:rsid w:val="0007326E"/>
    <w:rsid w:val="00073579"/>
    <w:rsid w:val="00073819"/>
    <w:rsid w:val="00073881"/>
    <w:rsid w:val="0007653B"/>
    <w:rsid w:val="00081489"/>
    <w:rsid w:val="00086ACA"/>
    <w:rsid w:val="000934CC"/>
    <w:rsid w:val="000955BF"/>
    <w:rsid w:val="00097580"/>
    <w:rsid w:val="000A1D09"/>
    <w:rsid w:val="000A39F2"/>
    <w:rsid w:val="000A7668"/>
    <w:rsid w:val="000A7AD7"/>
    <w:rsid w:val="000B1EF0"/>
    <w:rsid w:val="000B35C1"/>
    <w:rsid w:val="000B4AA9"/>
    <w:rsid w:val="000C10B8"/>
    <w:rsid w:val="000C26B4"/>
    <w:rsid w:val="000C26E1"/>
    <w:rsid w:val="000C37D9"/>
    <w:rsid w:val="000C3F41"/>
    <w:rsid w:val="000D0075"/>
    <w:rsid w:val="000D352A"/>
    <w:rsid w:val="000E3024"/>
    <w:rsid w:val="000E42C2"/>
    <w:rsid w:val="000E71CB"/>
    <w:rsid w:val="000F0263"/>
    <w:rsid w:val="000F3A6C"/>
    <w:rsid w:val="000F4055"/>
    <w:rsid w:val="000F428D"/>
    <w:rsid w:val="000F7ABD"/>
    <w:rsid w:val="00100F8E"/>
    <w:rsid w:val="00101D62"/>
    <w:rsid w:val="0011204D"/>
    <w:rsid w:val="00113712"/>
    <w:rsid w:val="00115EA2"/>
    <w:rsid w:val="00124796"/>
    <w:rsid w:val="00126D1E"/>
    <w:rsid w:val="0012759E"/>
    <w:rsid w:val="0013167D"/>
    <w:rsid w:val="00132566"/>
    <w:rsid w:val="00136F6F"/>
    <w:rsid w:val="00137E19"/>
    <w:rsid w:val="0014376A"/>
    <w:rsid w:val="00147C61"/>
    <w:rsid w:val="00155126"/>
    <w:rsid w:val="00161E8C"/>
    <w:rsid w:val="00165BCD"/>
    <w:rsid w:val="001727EB"/>
    <w:rsid w:val="001730BB"/>
    <w:rsid w:val="0017317F"/>
    <w:rsid w:val="0017635A"/>
    <w:rsid w:val="00185EC6"/>
    <w:rsid w:val="00187CF3"/>
    <w:rsid w:val="00190815"/>
    <w:rsid w:val="00190A66"/>
    <w:rsid w:val="00196790"/>
    <w:rsid w:val="001A1736"/>
    <w:rsid w:val="001A1A7B"/>
    <w:rsid w:val="001A1C2E"/>
    <w:rsid w:val="001A5701"/>
    <w:rsid w:val="001B0BDE"/>
    <w:rsid w:val="001B1BC2"/>
    <w:rsid w:val="001C1A7F"/>
    <w:rsid w:val="001C290C"/>
    <w:rsid w:val="001C3114"/>
    <w:rsid w:val="001C6CCE"/>
    <w:rsid w:val="001D159B"/>
    <w:rsid w:val="001D3609"/>
    <w:rsid w:val="001D46F1"/>
    <w:rsid w:val="001D4FB6"/>
    <w:rsid w:val="001D7897"/>
    <w:rsid w:val="001E0ECF"/>
    <w:rsid w:val="001E2315"/>
    <w:rsid w:val="001F0B5A"/>
    <w:rsid w:val="001F502A"/>
    <w:rsid w:val="002014EF"/>
    <w:rsid w:val="0020447F"/>
    <w:rsid w:val="00212B8F"/>
    <w:rsid w:val="00213A06"/>
    <w:rsid w:val="00213EAC"/>
    <w:rsid w:val="0021565A"/>
    <w:rsid w:val="00215D0D"/>
    <w:rsid w:val="00217F16"/>
    <w:rsid w:val="002202CC"/>
    <w:rsid w:val="00222250"/>
    <w:rsid w:val="0022475A"/>
    <w:rsid w:val="00226DC4"/>
    <w:rsid w:val="00231333"/>
    <w:rsid w:val="00231905"/>
    <w:rsid w:val="002341CA"/>
    <w:rsid w:val="00242FC0"/>
    <w:rsid w:val="00244B89"/>
    <w:rsid w:val="00250D7B"/>
    <w:rsid w:val="00255505"/>
    <w:rsid w:val="00260A40"/>
    <w:rsid w:val="00265825"/>
    <w:rsid w:val="00274BB4"/>
    <w:rsid w:val="002771BA"/>
    <w:rsid w:val="00282142"/>
    <w:rsid w:val="00283177"/>
    <w:rsid w:val="0028456C"/>
    <w:rsid w:val="00285D38"/>
    <w:rsid w:val="00291A5D"/>
    <w:rsid w:val="00292FD2"/>
    <w:rsid w:val="002976A3"/>
    <w:rsid w:val="002A4B15"/>
    <w:rsid w:val="002B1046"/>
    <w:rsid w:val="002B2FF6"/>
    <w:rsid w:val="002B53F0"/>
    <w:rsid w:val="002B57F0"/>
    <w:rsid w:val="002C1EE8"/>
    <w:rsid w:val="002C3B64"/>
    <w:rsid w:val="002C3F8B"/>
    <w:rsid w:val="002C6B97"/>
    <w:rsid w:val="002C7C31"/>
    <w:rsid w:val="002D0938"/>
    <w:rsid w:val="002D4260"/>
    <w:rsid w:val="002E416E"/>
    <w:rsid w:val="002E439C"/>
    <w:rsid w:val="002E7E19"/>
    <w:rsid w:val="002F1328"/>
    <w:rsid w:val="002F2F9C"/>
    <w:rsid w:val="002F3E5D"/>
    <w:rsid w:val="00303A84"/>
    <w:rsid w:val="003052F0"/>
    <w:rsid w:val="00305A73"/>
    <w:rsid w:val="00306F92"/>
    <w:rsid w:val="003143BD"/>
    <w:rsid w:val="00314571"/>
    <w:rsid w:val="0031598C"/>
    <w:rsid w:val="003214D5"/>
    <w:rsid w:val="00325568"/>
    <w:rsid w:val="0032565D"/>
    <w:rsid w:val="00325694"/>
    <w:rsid w:val="00327DDD"/>
    <w:rsid w:val="00331D2C"/>
    <w:rsid w:val="00332F8D"/>
    <w:rsid w:val="003351C3"/>
    <w:rsid w:val="00344C76"/>
    <w:rsid w:val="00347471"/>
    <w:rsid w:val="003517C9"/>
    <w:rsid w:val="00351CE4"/>
    <w:rsid w:val="003536CC"/>
    <w:rsid w:val="003558C6"/>
    <w:rsid w:val="003609B6"/>
    <w:rsid w:val="00366A42"/>
    <w:rsid w:val="0036714C"/>
    <w:rsid w:val="003736E0"/>
    <w:rsid w:val="00373FC9"/>
    <w:rsid w:val="003768C4"/>
    <w:rsid w:val="003773A2"/>
    <w:rsid w:val="003832C0"/>
    <w:rsid w:val="00384301"/>
    <w:rsid w:val="003907FE"/>
    <w:rsid w:val="00394AB5"/>
    <w:rsid w:val="0039536B"/>
    <w:rsid w:val="00397521"/>
    <w:rsid w:val="003975EE"/>
    <w:rsid w:val="003A1468"/>
    <w:rsid w:val="003A2959"/>
    <w:rsid w:val="003A3633"/>
    <w:rsid w:val="003A579E"/>
    <w:rsid w:val="003A5B6E"/>
    <w:rsid w:val="003A627A"/>
    <w:rsid w:val="003A6C7C"/>
    <w:rsid w:val="003B1AD3"/>
    <w:rsid w:val="003B2D6E"/>
    <w:rsid w:val="003B4CD8"/>
    <w:rsid w:val="003D1DB4"/>
    <w:rsid w:val="003D2356"/>
    <w:rsid w:val="003D3CCA"/>
    <w:rsid w:val="003D6C83"/>
    <w:rsid w:val="003E02C7"/>
    <w:rsid w:val="003E314E"/>
    <w:rsid w:val="003E3C66"/>
    <w:rsid w:val="003E4E81"/>
    <w:rsid w:val="003E79FA"/>
    <w:rsid w:val="003F439B"/>
    <w:rsid w:val="003F4D17"/>
    <w:rsid w:val="004044EE"/>
    <w:rsid w:val="004054AF"/>
    <w:rsid w:val="00406980"/>
    <w:rsid w:val="00417EFE"/>
    <w:rsid w:val="00420D56"/>
    <w:rsid w:val="00421A2A"/>
    <w:rsid w:val="004231A7"/>
    <w:rsid w:val="0042769A"/>
    <w:rsid w:val="00435099"/>
    <w:rsid w:val="00441B1A"/>
    <w:rsid w:val="004429CE"/>
    <w:rsid w:val="004433B4"/>
    <w:rsid w:val="004520C4"/>
    <w:rsid w:val="00452787"/>
    <w:rsid w:val="00455315"/>
    <w:rsid w:val="00455A2C"/>
    <w:rsid w:val="00457775"/>
    <w:rsid w:val="00472F48"/>
    <w:rsid w:val="0047364E"/>
    <w:rsid w:val="004752B2"/>
    <w:rsid w:val="00477915"/>
    <w:rsid w:val="0048000F"/>
    <w:rsid w:val="004827DF"/>
    <w:rsid w:val="00483D79"/>
    <w:rsid w:val="00484582"/>
    <w:rsid w:val="004877DC"/>
    <w:rsid w:val="00490539"/>
    <w:rsid w:val="00492A7B"/>
    <w:rsid w:val="00496CC7"/>
    <w:rsid w:val="004978E7"/>
    <w:rsid w:val="004A0094"/>
    <w:rsid w:val="004A2EEE"/>
    <w:rsid w:val="004A492F"/>
    <w:rsid w:val="004A5190"/>
    <w:rsid w:val="004B4B64"/>
    <w:rsid w:val="004B4F54"/>
    <w:rsid w:val="004B4FA1"/>
    <w:rsid w:val="004B66E0"/>
    <w:rsid w:val="004C245D"/>
    <w:rsid w:val="004C3205"/>
    <w:rsid w:val="004C35CD"/>
    <w:rsid w:val="004C3C3D"/>
    <w:rsid w:val="004C6308"/>
    <w:rsid w:val="004C7953"/>
    <w:rsid w:val="004D43B6"/>
    <w:rsid w:val="004D5757"/>
    <w:rsid w:val="004E6350"/>
    <w:rsid w:val="004E67E2"/>
    <w:rsid w:val="004F0DDD"/>
    <w:rsid w:val="004F707D"/>
    <w:rsid w:val="004F7AB0"/>
    <w:rsid w:val="00504777"/>
    <w:rsid w:val="005052F6"/>
    <w:rsid w:val="005052F9"/>
    <w:rsid w:val="00505EF7"/>
    <w:rsid w:val="005127B5"/>
    <w:rsid w:val="005135A5"/>
    <w:rsid w:val="00515C80"/>
    <w:rsid w:val="00526503"/>
    <w:rsid w:val="0053160B"/>
    <w:rsid w:val="00531B51"/>
    <w:rsid w:val="005327CC"/>
    <w:rsid w:val="0053324F"/>
    <w:rsid w:val="005362D3"/>
    <w:rsid w:val="005441B5"/>
    <w:rsid w:val="00550140"/>
    <w:rsid w:val="00550267"/>
    <w:rsid w:val="00550C7A"/>
    <w:rsid w:val="00550DE9"/>
    <w:rsid w:val="0055710B"/>
    <w:rsid w:val="00557921"/>
    <w:rsid w:val="00561101"/>
    <w:rsid w:val="0056263A"/>
    <w:rsid w:val="00563F9E"/>
    <w:rsid w:val="0057389F"/>
    <w:rsid w:val="005769C6"/>
    <w:rsid w:val="005857EC"/>
    <w:rsid w:val="005858EB"/>
    <w:rsid w:val="00585F88"/>
    <w:rsid w:val="00586663"/>
    <w:rsid w:val="0058707A"/>
    <w:rsid w:val="00592E39"/>
    <w:rsid w:val="00594727"/>
    <w:rsid w:val="00594B89"/>
    <w:rsid w:val="005968A2"/>
    <w:rsid w:val="005A367B"/>
    <w:rsid w:val="005A3DE8"/>
    <w:rsid w:val="005A4775"/>
    <w:rsid w:val="005A676E"/>
    <w:rsid w:val="005A6BAB"/>
    <w:rsid w:val="005A7699"/>
    <w:rsid w:val="005B17B0"/>
    <w:rsid w:val="005B18D7"/>
    <w:rsid w:val="005B471D"/>
    <w:rsid w:val="005C1BE4"/>
    <w:rsid w:val="005E12BA"/>
    <w:rsid w:val="005E1470"/>
    <w:rsid w:val="005E2C2A"/>
    <w:rsid w:val="005E2CCE"/>
    <w:rsid w:val="005E61B8"/>
    <w:rsid w:val="005E6C19"/>
    <w:rsid w:val="005E7284"/>
    <w:rsid w:val="005F1A42"/>
    <w:rsid w:val="005F7B87"/>
    <w:rsid w:val="00600518"/>
    <w:rsid w:val="00602C8E"/>
    <w:rsid w:val="00605B16"/>
    <w:rsid w:val="00606D46"/>
    <w:rsid w:val="00610E79"/>
    <w:rsid w:val="00617065"/>
    <w:rsid w:val="00623568"/>
    <w:rsid w:val="00623C59"/>
    <w:rsid w:val="00624E51"/>
    <w:rsid w:val="0062691F"/>
    <w:rsid w:val="0063051B"/>
    <w:rsid w:val="00630F8C"/>
    <w:rsid w:val="00633488"/>
    <w:rsid w:val="00636BEB"/>
    <w:rsid w:val="00637E90"/>
    <w:rsid w:val="00641E5C"/>
    <w:rsid w:val="00642FA2"/>
    <w:rsid w:val="006462E3"/>
    <w:rsid w:val="00646C08"/>
    <w:rsid w:val="00650B77"/>
    <w:rsid w:val="006511CF"/>
    <w:rsid w:val="006531CE"/>
    <w:rsid w:val="006538DF"/>
    <w:rsid w:val="006570E1"/>
    <w:rsid w:val="00660811"/>
    <w:rsid w:val="006626C8"/>
    <w:rsid w:val="00673FBB"/>
    <w:rsid w:val="00682D8A"/>
    <w:rsid w:val="006851CA"/>
    <w:rsid w:val="00685B4C"/>
    <w:rsid w:val="00694197"/>
    <w:rsid w:val="00694A48"/>
    <w:rsid w:val="00696633"/>
    <w:rsid w:val="00697F58"/>
    <w:rsid w:val="006A3E20"/>
    <w:rsid w:val="006A5B1B"/>
    <w:rsid w:val="006B09FC"/>
    <w:rsid w:val="006B17ED"/>
    <w:rsid w:val="006B6236"/>
    <w:rsid w:val="006B6D10"/>
    <w:rsid w:val="006C6BD4"/>
    <w:rsid w:val="006C726F"/>
    <w:rsid w:val="006D03A8"/>
    <w:rsid w:val="006D0741"/>
    <w:rsid w:val="006D1FB0"/>
    <w:rsid w:val="006D2972"/>
    <w:rsid w:val="006D3D45"/>
    <w:rsid w:val="006E3A19"/>
    <w:rsid w:val="006E5FFF"/>
    <w:rsid w:val="006E6450"/>
    <w:rsid w:val="006E7A95"/>
    <w:rsid w:val="006F21C1"/>
    <w:rsid w:val="006F2621"/>
    <w:rsid w:val="006F524C"/>
    <w:rsid w:val="006F5B26"/>
    <w:rsid w:val="00704B33"/>
    <w:rsid w:val="007060A0"/>
    <w:rsid w:val="007077A6"/>
    <w:rsid w:val="00710C69"/>
    <w:rsid w:val="00722538"/>
    <w:rsid w:val="007265D7"/>
    <w:rsid w:val="00726974"/>
    <w:rsid w:val="00727811"/>
    <w:rsid w:val="007322D8"/>
    <w:rsid w:val="00732EF1"/>
    <w:rsid w:val="00742141"/>
    <w:rsid w:val="00750D9E"/>
    <w:rsid w:val="007514B4"/>
    <w:rsid w:val="00752C76"/>
    <w:rsid w:val="00754CA5"/>
    <w:rsid w:val="0075532A"/>
    <w:rsid w:val="00756024"/>
    <w:rsid w:val="00764F5D"/>
    <w:rsid w:val="00765957"/>
    <w:rsid w:val="00771A4C"/>
    <w:rsid w:val="00772E12"/>
    <w:rsid w:val="00773988"/>
    <w:rsid w:val="0077537F"/>
    <w:rsid w:val="00777DFA"/>
    <w:rsid w:val="00780A6C"/>
    <w:rsid w:val="00781533"/>
    <w:rsid w:val="00781555"/>
    <w:rsid w:val="007828AF"/>
    <w:rsid w:val="00783F77"/>
    <w:rsid w:val="00785CC0"/>
    <w:rsid w:val="00786F91"/>
    <w:rsid w:val="007938EA"/>
    <w:rsid w:val="0079688B"/>
    <w:rsid w:val="00796FD9"/>
    <w:rsid w:val="007971CB"/>
    <w:rsid w:val="007A3FC9"/>
    <w:rsid w:val="007A4B39"/>
    <w:rsid w:val="007A7112"/>
    <w:rsid w:val="007B2148"/>
    <w:rsid w:val="007B4924"/>
    <w:rsid w:val="007C3AB7"/>
    <w:rsid w:val="007D29FA"/>
    <w:rsid w:val="007D36C0"/>
    <w:rsid w:val="007D5B54"/>
    <w:rsid w:val="007D68B1"/>
    <w:rsid w:val="007D79B3"/>
    <w:rsid w:val="007E3C78"/>
    <w:rsid w:val="007E54EB"/>
    <w:rsid w:val="007E5555"/>
    <w:rsid w:val="007F0105"/>
    <w:rsid w:val="007F348B"/>
    <w:rsid w:val="007F708C"/>
    <w:rsid w:val="00801352"/>
    <w:rsid w:val="00801D08"/>
    <w:rsid w:val="00801DDA"/>
    <w:rsid w:val="00802AFF"/>
    <w:rsid w:val="008047A9"/>
    <w:rsid w:val="0080746F"/>
    <w:rsid w:val="0081024A"/>
    <w:rsid w:val="00823CD1"/>
    <w:rsid w:val="00824B10"/>
    <w:rsid w:val="00824BD1"/>
    <w:rsid w:val="0083300F"/>
    <w:rsid w:val="0083433A"/>
    <w:rsid w:val="00835D60"/>
    <w:rsid w:val="008403F7"/>
    <w:rsid w:val="008406C1"/>
    <w:rsid w:val="0084165D"/>
    <w:rsid w:val="008459C9"/>
    <w:rsid w:val="00846C92"/>
    <w:rsid w:val="0084757A"/>
    <w:rsid w:val="00851174"/>
    <w:rsid w:val="008511C1"/>
    <w:rsid w:val="00851928"/>
    <w:rsid w:val="00851964"/>
    <w:rsid w:val="00853F18"/>
    <w:rsid w:val="00854761"/>
    <w:rsid w:val="008574D0"/>
    <w:rsid w:val="0086111A"/>
    <w:rsid w:val="0086167F"/>
    <w:rsid w:val="00862172"/>
    <w:rsid w:val="00864300"/>
    <w:rsid w:val="00865BAB"/>
    <w:rsid w:val="00866D1D"/>
    <w:rsid w:val="0086794B"/>
    <w:rsid w:val="00870BFD"/>
    <w:rsid w:val="00873E7F"/>
    <w:rsid w:val="00880EE2"/>
    <w:rsid w:val="00883386"/>
    <w:rsid w:val="00885312"/>
    <w:rsid w:val="00885CA9"/>
    <w:rsid w:val="00885DCB"/>
    <w:rsid w:val="00887CC7"/>
    <w:rsid w:val="008908AC"/>
    <w:rsid w:val="0089465C"/>
    <w:rsid w:val="00896E9E"/>
    <w:rsid w:val="008A0EA6"/>
    <w:rsid w:val="008A36C4"/>
    <w:rsid w:val="008A46CE"/>
    <w:rsid w:val="008A52A1"/>
    <w:rsid w:val="008A566D"/>
    <w:rsid w:val="008A6FB3"/>
    <w:rsid w:val="008B504E"/>
    <w:rsid w:val="008B7EB8"/>
    <w:rsid w:val="008C37EB"/>
    <w:rsid w:val="008C7D69"/>
    <w:rsid w:val="008D70C7"/>
    <w:rsid w:val="008D7DC8"/>
    <w:rsid w:val="008E29F4"/>
    <w:rsid w:val="008F122D"/>
    <w:rsid w:val="008F4349"/>
    <w:rsid w:val="008F4438"/>
    <w:rsid w:val="008F46EF"/>
    <w:rsid w:val="008F5DF2"/>
    <w:rsid w:val="00900915"/>
    <w:rsid w:val="009020F8"/>
    <w:rsid w:val="009022BB"/>
    <w:rsid w:val="009054CB"/>
    <w:rsid w:val="009070FF"/>
    <w:rsid w:val="0090736B"/>
    <w:rsid w:val="009114BE"/>
    <w:rsid w:val="00911E17"/>
    <w:rsid w:val="00913D5E"/>
    <w:rsid w:val="009147B9"/>
    <w:rsid w:val="00917710"/>
    <w:rsid w:val="0092278C"/>
    <w:rsid w:val="00931798"/>
    <w:rsid w:val="00932772"/>
    <w:rsid w:val="009331D9"/>
    <w:rsid w:val="0093495F"/>
    <w:rsid w:val="00934A3D"/>
    <w:rsid w:val="00937ACC"/>
    <w:rsid w:val="00940FDD"/>
    <w:rsid w:val="00942817"/>
    <w:rsid w:val="009476DF"/>
    <w:rsid w:val="00947B78"/>
    <w:rsid w:val="00952739"/>
    <w:rsid w:val="00953744"/>
    <w:rsid w:val="00954301"/>
    <w:rsid w:val="0095438F"/>
    <w:rsid w:val="00957A6B"/>
    <w:rsid w:val="00960947"/>
    <w:rsid w:val="00963587"/>
    <w:rsid w:val="00970118"/>
    <w:rsid w:val="009736BB"/>
    <w:rsid w:val="009758ED"/>
    <w:rsid w:val="009777D4"/>
    <w:rsid w:val="0098014A"/>
    <w:rsid w:val="00981A9F"/>
    <w:rsid w:val="009872EC"/>
    <w:rsid w:val="009878AE"/>
    <w:rsid w:val="009902F0"/>
    <w:rsid w:val="00992B65"/>
    <w:rsid w:val="00997D16"/>
    <w:rsid w:val="009A0913"/>
    <w:rsid w:val="009A2543"/>
    <w:rsid w:val="009A4B25"/>
    <w:rsid w:val="009B0A67"/>
    <w:rsid w:val="009B2756"/>
    <w:rsid w:val="009B4E04"/>
    <w:rsid w:val="009C538B"/>
    <w:rsid w:val="009C6EFF"/>
    <w:rsid w:val="009D294F"/>
    <w:rsid w:val="009D5B33"/>
    <w:rsid w:val="009D6945"/>
    <w:rsid w:val="009E1A32"/>
    <w:rsid w:val="009E1C9E"/>
    <w:rsid w:val="009E4F30"/>
    <w:rsid w:val="009E5801"/>
    <w:rsid w:val="009E62EF"/>
    <w:rsid w:val="009F2725"/>
    <w:rsid w:val="009F41E3"/>
    <w:rsid w:val="009F62C7"/>
    <w:rsid w:val="00A01630"/>
    <w:rsid w:val="00A0216D"/>
    <w:rsid w:val="00A03E28"/>
    <w:rsid w:val="00A06276"/>
    <w:rsid w:val="00A1223F"/>
    <w:rsid w:val="00A12994"/>
    <w:rsid w:val="00A13BBF"/>
    <w:rsid w:val="00A15B78"/>
    <w:rsid w:val="00A20E52"/>
    <w:rsid w:val="00A2165C"/>
    <w:rsid w:val="00A227F2"/>
    <w:rsid w:val="00A260E6"/>
    <w:rsid w:val="00A27B63"/>
    <w:rsid w:val="00A27F6F"/>
    <w:rsid w:val="00A307F3"/>
    <w:rsid w:val="00A35DC8"/>
    <w:rsid w:val="00A41A79"/>
    <w:rsid w:val="00A45986"/>
    <w:rsid w:val="00A45DB1"/>
    <w:rsid w:val="00A47A40"/>
    <w:rsid w:val="00A5083D"/>
    <w:rsid w:val="00A50923"/>
    <w:rsid w:val="00A5109F"/>
    <w:rsid w:val="00A5159A"/>
    <w:rsid w:val="00A53F94"/>
    <w:rsid w:val="00A562F5"/>
    <w:rsid w:val="00A56CC7"/>
    <w:rsid w:val="00A57F44"/>
    <w:rsid w:val="00A6075B"/>
    <w:rsid w:val="00A61E1B"/>
    <w:rsid w:val="00A624B6"/>
    <w:rsid w:val="00A6359B"/>
    <w:rsid w:val="00A64AB3"/>
    <w:rsid w:val="00A66A05"/>
    <w:rsid w:val="00A70373"/>
    <w:rsid w:val="00A70C6F"/>
    <w:rsid w:val="00A713BA"/>
    <w:rsid w:val="00A715B1"/>
    <w:rsid w:val="00A7672F"/>
    <w:rsid w:val="00A80A60"/>
    <w:rsid w:val="00A81DA2"/>
    <w:rsid w:val="00A8202D"/>
    <w:rsid w:val="00A83938"/>
    <w:rsid w:val="00A840C8"/>
    <w:rsid w:val="00A87691"/>
    <w:rsid w:val="00A9098E"/>
    <w:rsid w:val="00A931F9"/>
    <w:rsid w:val="00A950CC"/>
    <w:rsid w:val="00A9606F"/>
    <w:rsid w:val="00A97C49"/>
    <w:rsid w:val="00AA3784"/>
    <w:rsid w:val="00AA41EF"/>
    <w:rsid w:val="00AA4239"/>
    <w:rsid w:val="00AA5B8B"/>
    <w:rsid w:val="00AA6816"/>
    <w:rsid w:val="00AB3D4D"/>
    <w:rsid w:val="00AB789B"/>
    <w:rsid w:val="00AC1313"/>
    <w:rsid w:val="00AC2A7A"/>
    <w:rsid w:val="00AC51E7"/>
    <w:rsid w:val="00AC51FD"/>
    <w:rsid w:val="00AC5511"/>
    <w:rsid w:val="00AC73E2"/>
    <w:rsid w:val="00AC76E9"/>
    <w:rsid w:val="00AC7EC7"/>
    <w:rsid w:val="00AD08D6"/>
    <w:rsid w:val="00AD2714"/>
    <w:rsid w:val="00AD2763"/>
    <w:rsid w:val="00AD31BE"/>
    <w:rsid w:val="00AD4D64"/>
    <w:rsid w:val="00AD6151"/>
    <w:rsid w:val="00AD61F1"/>
    <w:rsid w:val="00AE29FD"/>
    <w:rsid w:val="00AF0EF2"/>
    <w:rsid w:val="00AF0F3E"/>
    <w:rsid w:val="00AF53A0"/>
    <w:rsid w:val="00AF6482"/>
    <w:rsid w:val="00AF7F36"/>
    <w:rsid w:val="00B002ED"/>
    <w:rsid w:val="00B03474"/>
    <w:rsid w:val="00B067AB"/>
    <w:rsid w:val="00B10314"/>
    <w:rsid w:val="00B15947"/>
    <w:rsid w:val="00B160FF"/>
    <w:rsid w:val="00B20916"/>
    <w:rsid w:val="00B330CB"/>
    <w:rsid w:val="00B34ACA"/>
    <w:rsid w:val="00B35EBB"/>
    <w:rsid w:val="00B40B43"/>
    <w:rsid w:val="00B4588A"/>
    <w:rsid w:val="00B45EC2"/>
    <w:rsid w:val="00B4656C"/>
    <w:rsid w:val="00B46D4C"/>
    <w:rsid w:val="00B50236"/>
    <w:rsid w:val="00B5266B"/>
    <w:rsid w:val="00B53494"/>
    <w:rsid w:val="00B537F4"/>
    <w:rsid w:val="00B53CA6"/>
    <w:rsid w:val="00B609B1"/>
    <w:rsid w:val="00B67D63"/>
    <w:rsid w:val="00B7376A"/>
    <w:rsid w:val="00B73C7A"/>
    <w:rsid w:val="00B7468F"/>
    <w:rsid w:val="00B75DBB"/>
    <w:rsid w:val="00B8023F"/>
    <w:rsid w:val="00B833FC"/>
    <w:rsid w:val="00B83AE6"/>
    <w:rsid w:val="00B872B9"/>
    <w:rsid w:val="00B87423"/>
    <w:rsid w:val="00B96520"/>
    <w:rsid w:val="00B96978"/>
    <w:rsid w:val="00BA3725"/>
    <w:rsid w:val="00BA4BB9"/>
    <w:rsid w:val="00BA76A9"/>
    <w:rsid w:val="00BB0837"/>
    <w:rsid w:val="00BB4AD6"/>
    <w:rsid w:val="00BB4E81"/>
    <w:rsid w:val="00BB53E6"/>
    <w:rsid w:val="00BC239B"/>
    <w:rsid w:val="00BC3AAA"/>
    <w:rsid w:val="00BC3D42"/>
    <w:rsid w:val="00BC41E8"/>
    <w:rsid w:val="00BC784C"/>
    <w:rsid w:val="00BC7881"/>
    <w:rsid w:val="00BC7B6D"/>
    <w:rsid w:val="00BD33D6"/>
    <w:rsid w:val="00BD3818"/>
    <w:rsid w:val="00BD3BDE"/>
    <w:rsid w:val="00BD3EDE"/>
    <w:rsid w:val="00BD54AA"/>
    <w:rsid w:val="00BD7CF5"/>
    <w:rsid w:val="00BE2C98"/>
    <w:rsid w:val="00BE2E26"/>
    <w:rsid w:val="00BE5BDB"/>
    <w:rsid w:val="00BE7DD1"/>
    <w:rsid w:val="00BF6BAB"/>
    <w:rsid w:val="00BF6BC0"/>
    <w:rsid w:val="00BF7703"/>
    <w:rsid w:val="00C015FA"/>
    <w:rsid w:val="00C04350"/>
    <w:rsid w:val="00C069D2"/>
    <w:rsid w:val="00C06D9B"/>
    <w:rsid w:val="00C073DF"/>
    <w:rsid w:val="00C07DDA"/>
    <w:rsid w:val="00C1176D"/>
    <w:rsid w:val="00C134E5"/>
    <w:rsid w:val="00C1362F"/>
    <w:rsid w:val="00C167FC"/>
    <w:rsid w:val="00C219DE"/>
    <w:rsid w:val="00C2575A"/>
    <w:rsid w:val="00C25ED8"/>
    <w:rsid w:val="00C27264"/>
    <w:rsid w:val="00C337D8"/>
    <w:rsid w:val="00C41867"/>
    <w:rsid w:val="00C41A67"/>
    <w:rsid w:val="00C4414B"/>
    <w:rsid w:val="00C4694E"/>
    <w:rsid w:val="00C47621"/>
    <w:rsid w:val="00C47A11"/>
    <w:rsid w:val="00C55DF1"/>
    <w:rsid w:val="00C55ED0"/>
    <w:rsid w:val="00C61855"/>
    <w:rsid w:val="00C621E4"/>
    <w:rsid w:val="00C65B82"/>
    <w:rsid w:val="00C817E7"/>
    <w:rsid w:val="00C855AC"/>
    <w:rsid w:val="00C85B06"/>
    <w:rsid w:val="00C92FC4"/>
    <w:rsid w:val="00C935B7"/>
    <w:rsid w:val="00C93F5D"/>
    <w:rsid w:val="00C94FD0"/>
    <w:rsid w:val="00C9594B"/>
    <w:rsid w:val="00C96E82"/>
    <w:rsid w:val="00CA1692"/>
    <w:rsid w:val="00CA2AC9"/>
    <w:rsid w:val="00CA3F02"/>
    <w:rsid w:val="00CA5053"/>
    <w:rsid w:val="00CA69D0"/>
    <w:rsid w:val="00CB57E2"/>
    <w:rsid w:val="00CB7871"/>
    <w:rsid w:val="00CC626A"/>
    <w:rsid w:val="00CC6402"/>
    <w:rsid w:val="00CC6DE8"/>
    <w:rsid w:val="00CE3250"/>
    <w:rsid w:val="00CE567A"/>
    <w:rsid w:val="00CE6919"/>
    <w:rsid w:val="00CE6DC3"/>
    <w:rsid w:val="00CF4D86"/>
    <w:rsid w:val="00CF7C32"/>
    <w:rsid w:val="00D07C32"/>
    <w:rsid w:val="00D10F74"/>
    <w:rsid w:val="00D11346"/>
    <w:rsid w:val="00D11C98"/>
    <w:rsid w:val="00D12DEF"/>
    <w:rsid w:val="00D17CC5"/>
    <w:rsid w:val="00D2085E"/>
    <w:rsid w:val="00D24D09"/>
    <w:rsid w:val="00D327A9"/>
    <w:rsid w:val="00D3551B"/>
    <w:rsid w:val="00D35BD5"/>
    <w:rsid w:val="00D42486"/>
    <w:rsid w:val="00D47D89"/>
    <w:rsid w:val="00D47E67"/>
    <w:rsid w:val="00D50745"/>
    <w:rsid w:val="00D5213E"/>
    <w:rsid w:val="00D53196"/>
    <w:rsid w:val="00D5459E"/>
    <w:rsid w:val="00D55605"/>
    <w:rsid w:val="00D56A22"/>
    <w:rsid w:val="00D6128E"/>
    <w:rsid w:val="00D66892"/>
    <w:rsid w:val="00D763C7"/>
    <w:rsid w:val="00D777CF"/>
    <w:rsid w:val="00D86CD0"/>
    <w:rsid w:val="00D90400"/>
    <w:rsid w:val="00D924C0"/>
    <w:rsid w:val="00D92FB6"/>
    <w:rsid w:val="00D95261"/>
    <w:rsid w:val="00D966E3"/>
    <w:rsid w:val="00DA1030"/>
    <w:rsid w:val="00DA3661"/>
    <w:rsid w:val="00DA7850"/>
    <w:rsid w:val="00DB3586"/>
    <w:rsid w:val="00DB3D43"/>
    <w:rsid w:val="00DB57AD"/>
    <w:rsid w:val="00DB6F39"/>
    <w:rsid w:val="00DC0384"/>
    <w:rsid w:val="00DC7B4E"/>
    <w:rsid w:val="00DE1E3F"/>
    <w:rsid w:val="00DE2783"/>
    <w:rsid w:val="00DE27B6"/>
    <w:rsid w:val="00DE3E45"/>
    <w:rsid w:val="00DE4751"/>
    <w:rsid w:val="00DF2A40"/>
    <w:rsid w:val="00DF641F"/>
    <w:rsid w:val="00E00ADC"/>
    <w:rsid w:val="00E01143"/>
    <w:rsid w:val="00E05DAB"/>
    <w:rsid w:val="00E10024"/>
    <w:rsid w:val="00E11825"/>
    <w:rsid w:val="00E13031"/>
    <w:rsid w:val="00E1778C"/>
    <w:rsid w:val="00E24586"/>
    <w:rsid w:val="00E27F54"/>
    <w:rsid w:val="00E30DA5"/>
    <w:rsid w:val="00E31596"/>
    <w:rsid w:val="00E3552D"/>
    <w:rsid w:val="00E367F1"/>
    <w:rsid w:val="00E3793B"/>
    <w:rsid w:val="00E42158"/>
    <w:rsid w:val="00E44297"/>
    <w:rsid w:val="00E46C73"/>
    <w:rsid w:val="00E46F99"/>
    <w:rsid w:val="00E510D6"/>
    <w:rsid w:val="00E519F8"/>
    <w:rsid w:val="00E62E57"/>
    <w:rsid w:val="00E632E4"/>
    <w:rsid w:val="00E65761"/>
    <w:rsid w:val="00E66119"/>
    <w:rsid w:val="00E76A8F"/>
    <w:rsid w:val="00E866F8"/>
    <w:rsid w:val="00E872BC"/>
    <w:rsid w:val="00E90E77"/>
    <w:rsid w:val="00E91055"/>
    <w:rsid w:val="00E91BAC"/>
    <w:rsid w:val="00E93E9B"/>
    <w:rsid w:val="00E942D2"/>
    <w:rsid w:val="00E954FC"/>
    <w:rsid w:val="00E9559D"/>
    <w:rsid w:val="00EA1444"/>
    <w:rsid w:val="00EA1A07"/>
    <w:rsid w:val="00EA200A"/>
    <w:rsid w:val="00EA63BE"/>
    <w:rsid w:val="00EA6A9F"/>
    <w:rsid w:val="00EB2404"/>
    <w:rsid w:val="00EB3A2B"/>
    <w:rsid w:val="00EC1560"/>
    <w:rsid w:val="00EC1DD8"/>
    <w:rsid w:val="00EC3FB1"/>
    <w:rsid w:val="00EC7DA9"/>
    <w:rsid w:val="00ED0AE0"/>
    <w:rsid w:val="00ED5099"/>
    <w:rsid w:val="00ED54D7"/>
    <w:rsid w:val="00ED7A94"/>
    <w:rsid w:val="00EE28C3"/>
    <w:rsid w:val="00EE5BD0"/>
    <w:rsid w:val="00EF7494"/>
    <w:rsid w:val="00F02F7F"/>
    <w:rsid w:val="00F03224"/>
    <w:rsid w:val="00F036DC"/>
    <w:rsid w:val="00F03F89"/>
    <w:rsid w:val="00F07181"/>
    <w:rsid w:val="00F07203"/>
    <w:rsid w:val="00F11541"/>
    <w:rsid w:val="00F11938"/>
    <w:rsid w:val="00F124BC"/>
    <w:rsid w:val="00F21DC6"/>
    <w:rsid w:val="00F22F81"/>
    <w:rsid w:val="00F24CC7"/>
    <w:rsid w:val="00F3025A"/>
    <w:rsid w:val="00F311F5"/>
    <w:rsid w:val="00F3260A"/>
    <w:rsid w:val="00F34549"/>
    <w:rsid w:val="00F35B57"/>
    <w:rsid w:val="00F37FB3"/>
    <w:rsid w:val="00F539C3"/>
    <w:rsid w:val="00F579E3"/>
    <w:rsid w:val="00F61CA6"/>
    <w:rsid w:val="00F63985"/>
    <w:rsid w:val="00F63AC1"/>
    <w:rsid w:val="00F65AA6"/>
    <w:rsid w:val="00F755C4"/>
    <w:rsid w:val="00F82965"/>
    <w:rsid w:val="00F934FF"/>
    <w:rsid w:val="00F96391"/>
    <w:rsid w:val="00FA0969"/>
    <w:rsid w:val="00FA0EAC"/>
    <w:rsid w:val="00FB0C91"/>
    <w:rsid w:val="00FB0FCF"/>
    <w:rsid w:val="00FB6935"/>
    <w:rsid w:val="00FC304F"/>
    <w:rsid w:val="00FC50F1"/>
    <w:rsid w:val="00FC72BF"/>
    <w:rsid w:val="00FC7431"/>
    <w:rsid w:val="00FD2A99"/>
    <w:rsid w:val="00FD39B1"/>
    <w:rsid w:val="00FD5371"/>
    <w:rsid w:val="00FD7D1E"/>
    <w:rsid w:val="00FE386A"/>
    <w:rsid w:val="00FE7DB4"/>
    <w:rsid w:val="00FF0DD3"/>
    <w:rsid w:val="00FF1527"/>
    <w:rsid w:val="00FF1D66"/>
    <w:rsid w:val="00FF6DB0"/>
    <w:rsid w:val="00FF78A8"/>
    <w:rsid w:val="0613CA39"/>
    <w:rsid w:val="0E3B7D5F"/>
    <w:rsid w:val="0EDD3A5B"/>
    <w:rsid w:val="0FBCE73A"/>
    <w:rsid w:val="1CAF7FC9"/>
    <w:rsid w:val="22E6DB4E"/>
    <w:rsid w:val="22F092F7"/>
    <w:rsid w:val="2658AE5B"/>
    <w:rsid w:val="270AD1EA"/>
    <w:rsid w:val="2ECE189D"/>
    <w:rsid w:val="3246D3EA"/>
    <w:rsid w:val="34423D1F"/>
    <w:rsid w:val="34AC60FA"/>
    <w:rsid w:val="399CA9B9"/>
    <w:rsid w:val="3BCFC3AB"/>
    <w:rsid w:val="4719FFA8"/>
    <w:rsid w:val="48CE934D"/>
    <w:rsid w:val="4CEBADD4"/>
    <w:rsid w:val="4FC6FC2B"/>
    <w:rsid w:val="500B5CC2"/>
    <w:rsid w:val="5034FE10"/>
    <w:rsid w:val="54D94A59"/>
    <w:rsid w:val="56A87D36"/>
    <w:rsid w:val="56DED660"/>
    <w:rsid w:val="5A81FA04"/>
    <w:rsid w:val="5C7D1864"/>
    <w:rsid w:val="6782A20A"/>
    <w:rsid w:val="6AB12F7E"/>
    <w:rsid w:val="6CD70201"/>
    <w:rsid w:val="73AF504E"/>
    <w:rsid w:val="757C150D"/>
    <w:rsid w:val="761031FA"/>
    <w:rsid w:val="78D34F15"/>
    <w:rsid w:val="7D76E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5D769"/>
  <w15:docId w15:val="{C549E034-53B0-4091-B3F8-0D00A6EE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871"/>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9054CB"/>
    <w:pPr>
      <w:keepNext/>
      <w:spacing w:before="0" w:after="0"/>
      <w:jc w:val="left"/>
      <w:outlineLvl w:val="0"/>
    </w:pPr>
    <w:rPr>
      <w:rFonts w:ascii="Times New Roman" w:hAnsi="Times New Roman"/>
      <w:b/>
      <w:sz w:val="24"/>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871"/>
    <w:pPr>
      <w:tabs>
        <w:tab w:val="center" w:pos="4513"/>
        <w:tab w:val="right" w:pos="9026"/>
      </w:tabs>
      <w:spacing w:after="0"/>
    </w:pPr>
  </w:style>
  <w:style w:type="character" w:customStyle="1" w:styleId="HeaderChar">
    <w:name w:val="Header Char"/>
    <w:basedOn w:val="DefaultParagraphFont"/>
    <w:link w:val="Header"/>
    <w:rsid w:val="00CB7871"/>
    <w:rPr>
      <w:rFonts w:ascii="Arial" w:eastAsia="Times New Roman" w:hAnsi="Arial" w:cs="Times New Roman"/>
      <w:szCs w:val="24"/>
      <w:lang w:eastAsia="en-GB"/>
    </w:rPr>
  </w:style>
  <w:style w:type="table" w:styleId="TableGrid">
    <w:name w:val="Table Grid"/>
    <w:basedOn w:val="TableNormal"/>
    <w:uiPriority w:val="59"/>
    <w:rsid w:val="00CB7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871"/>
    <w:pPr>
      <w:ind w:left="720"/>
      <w:contextualSpacing/>
    </w:pPr>
  </w:style>
  <w:style w:type="character" w:customStyle="1" w:styleId="Doctitle">
    <w:name w:val="Doc title"/>
    <w:rsid w:val="00CB7871"/>
    <w:rPr>
      <w:rFonts w:ascii="Arial" w:hAnsi="Arial"/>
      <w:b/>
      <w:bCs/>
      <w:sz w:val="36"/>
    </w:rPr>
  </w:style>
  <w:style w:type="paragraph" w:styleId="BalloonText">
    <w:name w:val="Balloon Text"/>
    <w:basedOn w:val="Normal"/>
    <w:link w:val="BalloonTextChar"/>
    <w:uiPriority w:val="99"/>
    <w:semiHidden/>
    <w:unhideWhenUsed/>
    <w:rsid w:val="00CB78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871"/>
    <w:rPr>
      <w:rFonts w:ascii="Tahoma" w:eastAsia="Times New Roman" w:hAnsi="Tahoma" w:cs="Tahoma"/>
      <w:sz w:val="16"/>
      <w:szCs w:val="16"/>
      <w:lang w:eastAsia="en-GB"/>
    </w:rPr>
  </w:style>
  <w:style w:type="paragraph" w:styleId="Footer">
    <w:name w:val="footer"/>
    <w:basedOn w:val="Normal"/>
    <w:link w:val="FooterChar"/>
    <w:uiPriority w:val="99"/>
    <w:unhideWhenUsed/>
    <w:rsid w:val="00752C76"/>
    <w:pPr>
      <w:tabs>
        <w:tab w:val="center" w:pos="4513"/>
        <w:tab w:val="right" w:pos="9026"/>
      </w:tabs>
      <w:spacing w:before="0" w:after="0"/>
    </w:pPr>
  </w:style>
  <w:style w:type="character" w:customStyle="1" w:styleId="FooterChar">
    <w:name w:val="Footer Char"/>
    <w:basedOn w:val="DefaultParagraphFont"/>
    <w:link w:val="Footer"/>
    <w:uiPriority w:val="99"/>
    <w:rsid w:val="00752C76"/>
    <w:rPr>
      <w:rFonts w:ascii="Arial" w:eastAsia="Times New Roman" w:hAnsi="Arial" w:cs="Times New Roman"/>
      <w:szCs w:val="24"/>
      <w:lang w:eastAsia="en-GB"/>
    </w:rPr>
  </w:style>
  <w:style w:type="character" w:customStyle="1" w:styleId="Heading1Char">
    <w:name w:val="Heading 1 Char"/>
    <w:basedOn w:val="DefaultParagraphFont"/>
    <w:link w:val="Heading1"/>
    <w:rsid w:val="009054CB"/>
    <w:rPr>
      <w:rFonts w:ascii="Times New Roman" w:eastAsia="Times New Roman" w:hAnsi="Times New Roman" w:cs="Times New Roman"/>
      <w:b/>
      <w:sz w:val="24"/>
      <w:szCs w:val="20"/>
      <w:lang w:val="x-none"/>
    </w:rPr>
  </w:style>
  <w:style w:type="character" w:styleId="CommentReference">
    <w:name w:val="annotation reference"/>
    <w:rsid w:val="009054CB"/>
    <w:rPr>
      <w:sz w:val="16"/>
      <w:szCs w:val="16"/>
    </w:rPr>
  </w:style>
  <w:style w:type="paragraph" w:styleId="CommentText">
    <w:name w:val="annotation text"/>
    <w:basedOn w:val="Normal"/>
    <w:link w:val="CommentTextChar"/>
    <w:rsid w:val="009054CB"/>
    <w:pPr>
      <w:spacing w:before="0" w:after="0"/>
      <w:jc w:val="left"/>
    </w:pPr>
    <w:rPr>
      <w:rFonts w:eastAsia="Calibri"/>
      <w:sz w:val="20"/>
      <w:szCs w:val="20"/>
    </w:rPr>
  </w:style>
  <w:style w:type="character" w:customStyle="1" w:styleId="CommentTextChar">
    <w:name w:val="Comment Text Char"/>
    <w:basedOn w:val="DefaultParagraphFont"/>
    <w:link w:val="CommentText"/>
    <w:rsid w:val="009054CB"/>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41A79"/>
    <w:pPr>
      <w:spacing w:before="200" w:after="200"/>
      <w:jc w:val="both"/>
    </w:pPr>
    <w:rPr>
      <w:rFonts w:eastAsia="Times New Roman"/>
      <w:b/>
      <w:bCs/>
    </w:rPr>
  </w:style>
  <w:style w:type="character" w:customStyle="1" w:styleId="CommentSubjectChar">
    <w:name w:val="Comment Subject Char"/>
    <w:basedOn w:val="CommentTextChar"/>
    <w:link w:val="CommentSubject"/>
    <w:uiPriority w:val="99"/>
    <w:semiHidden/>
    <w:rsid w:val="00A41A79"/>
    <w:rPr>
      <w:rFonts w:ascii="Arial" w:eastAsia="Times New Roman" w:hAnsi="Arial" w:cs="Times New Roman"/>
      <w:b/>
      <w:bCs/>
      <w:sz w:val="20"/>
      <w:szCs w:val="20"/>
      <w:lang w:eastAsia="en-GB"/>
    </w:rPr>
  </w:style>
  <w:style w:type="paragraph" w:styleId="BodyText2">
    <w:name w:val="Body Text 2"/>
    <w:basedOn w:val="Normal"/>
    <w:link w:val="BodyText2Char"/>
    <w:rsid w:val="00A13BBF"/>
    <w:pPr>
      <w:tabs>
        <w:tab w:val="left" w:pos="426"/>
      </w:tabs>
      <w:spacing w:before="0" w:after="0"/>
    </w:pPr>
    <w:rPr>
      <w:sz w:val="24"/>
      <w:szCs w:val="20"/>
    </w:rPr>
  </w:style>
  <w:style w:type="character" w:customStyle="1" w:styleId="BodyText2Char">
    <w:name w:val="Body Text 2 Char"/>
    <w:basedOn w:val="DefaultParagraphFont"/>
    <w:link w:val="BodyText2"/>
    <w:rsid w:val="00A13BBF"/>
    <w:rPr>
      <w:rFonts w:ascii="Arial" w:eastAsia="Times New Roman" w:hAnsi="Arial" w:cs="Times New Roman"/>
      <w:sz w:val="24"/>
      <w:szCs w:val="20"/>
      <w:lang w:eastAsia="en-GB"/>
    </w:rPr>
  </w:style>
  <w:style w:type="table" w:customStyle="1" w:styleId="GridTable1Light1">
    <w:name w:val="Grid Table 1 Light1"/>
    <w:basedOn w:val="TableNormal"/>
    <w:uiPriority w:val="46"/>
    <w:rsid w:val="00483D79"/>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40FDD"/>
    <w:pPr>
      <w:spacing w:before="100" w:beforeAutospacing="1" w:after="100" w:afterAutospacing="1"/>
      <w:jc w:val="left"/>
    </w:pPr>
    <w:rPr>
      <w:rFonts w:ascii="Times New Roman" w:hAnsi="Times New Roman"/>
      <w:sz w:val="24"/>
    </w:rPr>
  </w:style>
  <w:style w:type="character" w:styleId="Hyperlink">
    <w:name w:val="Hyperlink"/>
    <w:basedOn w:val="DefaultParagraphFont"/>
    <w:uiPriority w:val="99"/>
    <w:unhideWhenUsed/>
    <w:rsid w:val="00124796"/>
    <w:rPr>
      <w:color w:val="0000FF" w:themeColor="hyperlink"/>
      <w:u w:val="single"/>
    </w:rPr>
  </w:style>
  <w:style w:type="paragraph" w:styleId="Revision">
    <w:name w:val="Revision"/>
    <w:hidden/>
    <w:uiPriority w:val="99"/>
    <w:semiHidden/>
    <w:rsid w:val="00E3793B"/>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42">
      <w:bodyDiv w:val="1"/>
      <w:marLeft w:val="0"/>
      <w:marRight w:val="0"/>
      <w:marTop w:val="0"/>
      <w:marBottom w:val="0"/>
      <w:divBdr>
        <w:top w:val="none" w:sz="0" w:space="0" w:color="auto"/>
        <w:left w:val="none" w:sz="0" w:space="0" w:color="auto"/>
        <w:bottom w:val="none" w:sz="0" w:space="0" w:color="auto"/>
        <w:right w:val="none" w:sz="0" w:space="0" w:color="auto"/>
      </w:divBdr>
    </w:div>
    <w:div w:id="295454352">
      <w:bodyDiv w:val="1"/>
      <w:marLeft w:val="0"/>
      <w:marRight w:val="0"/>
      <w:marTop w:val="0"/>
      <w:marBottom w:val="0"/>
      <w:divBdr>
        <w:top w:val="none" w:sz="0" w:space="0" w:color="auto"/>
        <w:left w:val="none" w:sz="0" w:space="0" w:color="auto"/>
        <w:bottom w:val="none" w:sz="0" w:space="0" w:color="auto"/>
        <w:right w:val="none" w:sz="0" w:space="0" w:color="auto"/>
      </w:divBdr>
    </w:div>
    <w:div w:id="480661833">
      <w:bodyDiv w:val="1"/>
      <w:marLeft w:val="0"/>
      <w:marRight w:val="0"/>
      <w:marTop w:val="0"/>
      <w:marBottom w:val="0"/>
      <w:divBdr>
        <w:top w:val="none" w:sz="0" w:space="0" w:color="auto"/>
        <w:left w:val="none" w:sz="0" w:space="0" w:color="auto"/>
        <w:bottom w:val="none" w:sz="0" w:space="0" w:color="auto"/>
        <w:right w:val="none" w:sz="0" w:space="0" w:color="auto"/>
      </w:divBdr>
    </w:div>
    <w:div w:id="902720510">
      <w:bodyDiv w:val="1"/>
      <w:marLeft w:val="0"/>
      <w:marRight w:val="0"/>
      <w:marTop w:val="0"/>
      <w:marBottom w:val="0"/>
      <w:divBdr>
        <w:top w:val="none" w:sz="0" w:space="0" w:color="auto"/>
        <w:left w:val="none" w:sz="0" w:space="0" w:color="auto"/>
        <w:bottom w:val="none" w:sz="0" w:space="0" w:color="auto"/>
        <w:right w:val="none" w:sz="0" w:space="0" w:color="auto"/>
      </w:divBdr>
    </w:div>
    <w:div w:id="1163089159">
      <w:bodyDiv w:val="1"/>
      <w:marLeft w:val="0"/>
      <w:marRight w:val="0"/>
      <w:marTop w:val="0"/>
      <w:marBottom w:val="0"/>
      <w:divBdr>
        <w:top w:val="none" w:sz="0" w:space="0" w:color="auto"/>
        <w:left w:val="none" w:sz="0" w:space="0" w:color="auto"/>
        <w:bottom w:val="none" w:sz="0" w:space="0" w:color="auto"/>
        <w:right w:val="none" w:sz="0" w:space="0" w:color="auto"/>
      </w:divBdr>
    </w:div>
    <w:div w:id="1376926423">
      <w:bodyDiv w:val="1"/>
      <w:marLeft w:val="0"/>
      <w:marRight w:val="0"/>
      <w:marTop w:val="0"/>
      <w:marBottom w:val="0"/>
      <w:divBdr>
        <w:top w:val="none" w:sz="0" w:space="0" w:color="auto"/>
        <w:left w:val="none" w:sz="0" w:space="0" w:color="auto"/>
        <w:bottom w:val="none" w:sz="0" w:space="0" w:color="auto"/>
        <w:right w:val="none" w:sz="0" w:space="0" w:color="auto"/>
      </w:divBdr>
    </w:div>
    <w:div w:id="1563327505">
      <w:bodyDiv w:val="1"/>
      <w:marLeft w:val="0"/>
      <w:marRight w:val="0"/>
      <w:marTop w:val="0"/>
      <w:marBottom w:val="0"/>
      <w:divBdr>
        <w:top w:val="none" w:sz="0" w:space="0" w:color="auto"/>
        <w:left w:val="none" w:sz="0" w:space="0" w:color="auto"/>
        <w:bottom w:val="none" w:sz="0" w:space="0" w:color="auto"/>
        <w:right w:val="none" w:sz="0" w:space="0" w:color="auto"/>
      </w:divBdr>
    </w:div>
    <w:div w:id="1565293093">
      <w:bodyDiv w:val="1"/>
      <w:marLeft w:val="0"/>
      <w:marRight w:val="0"/>
      <w:marTop w:val="0"/>
      <w:marBottom w:val="0"/>
      <w:divBdr>
        <w:top w:val="none" w:sz="0" w:space="0" w:color="auto"/>
        <w:left w:val="none" w:sz="0" w:space="0" w:color="auto"/>
        <w:bottom w:val="none" w:sz="0" w:space="0" w:color="auto"/>
        <w:right w:val="none" w:sz="0" w:space="0" w:color="auto"/>
      </w:divBdr>
    </w:div>
    <w:div w:id="1653630737">
      <w:bodyDiv w:val="1"/>
      <w:marLeft w:val="0"/>
      <w:marRight w:val="0"/>
      <w:marTop w:val="0"/>
      <w:marBottom w:val="0"/>
      <w:divBdr>
        <w:top w:val="none" w:sz="0" w:space="0" w:color="auto"/>
        <w:left w:val="none" w:sz="0" w:space="0" w:color="auto"/>
        <w:bottom w:val="none" w:sz="0" w:space="0" w:color="auto"/>
        <w:right w:val="none" w:sz="0" w:space="0" w:color="auto"/>
      </w:divBdr>
    </w:div>
    <w:div w:id="1662344354">
      <w:bodyDiv w:val="1"/>
      <w:marLeft w:val="0"/>
      <w:marRight w:val="0"/>
      <w:marTop w:val="0"/>
      <w:marBottom w:val="0"/>
      <w:divBdr>
        <w:top w:val="none" w:sz="0" w:space="0" w:color="auto"/>
        <w:left w:val="none" w:sz="0" w:space="0" w:color="auto"/>
        <w:bottom w:val="none" w:sz="0" w:space="0" w:color="auto"/>
        <w:right w:val="none" w:sz="0" w:space="0" w:color="auto"/>
      </w:divBdr>
    </w:div>
    <w:div w:id="1762675031">
      <w:bodyDiv w:val="1"/>
      <w:marLeft w:val="0"/>
      <w:marRight w:val="0"/>
      <w:marTop w:val="0"/>
      <w:marBottom w:val="0"/>
      <w:divBdr>
        <w:top w:val="none" w:sz="0" w:space="0" w:color="auto"/>
        <w:left w:val="none" w:sz="0" w:space="0" w:color="auto"/>
        <w:bottom w:val="none" w:sz="0" w:space="0" w:color="auto"/>
        <w:right w:val="none" w:sz="0" w:space="0" w:color="auto"/>
      </w:divBdr>
    </w:div>
    <w:div w:id="1777628089">
      <w:bodyDiv w:val="1"/>
      <w:marLeft w:val="0"/>
      <w:marRight w:val="0"/>
      <w:marTop w:val="0"/>
      <w:marBottom w:val="0"/>
      <w:divBdr>
        <w:top w:val="none" w:sz="0" w:space="0" w:color="auto"/>
        <w:left w:val="none" w:sz="0" w:space="0" w:color="auto"/>
        <w:bottom w:val="none" w:sz="0" w:space="0" w:color="auto"/>
        <w:right w:val="none" w:sz="0" w:space="0" w:color="auto"/>
      </w:divBdr>
    </w:div>
    <w:div w:id="193620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5.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2.xml"/><Relationship Id="rId28" Type="http://schemas.microsoft.com/office/2016/09/relationships/commentsIds" Target="commentsIds.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Arial"/>
                <a:ea typeface="Arial"/>
                <a:cs typeface="Arial"/>
              </a:defRPr>
            </a:pPr>
            <a:r>
              <a:rPr lang="en-GB"/>
              <a:t>Crude mortality rate at HDFT</a:t>
            </a:r>
          </a:p>
        </c:rich>
      </c:tx>
      <c:layout>
        <c:manualLayout>
          <c:xMode val="edge"/>
          <c:yMode val="edge"/>
          <c:x val="0.22187556158848193"/>
          <c:y val="0"/>
        </c:manualLayout>
      </c:layout>
      <c:overlay val="1"/>
    </c:title>
    <c:autoTitleDeleted val="0"/>
    <c:plotArea>
      <c:layout>
        <c:manualLayout>
          <c:layoutTarget val="inner"/>
          <c:xMode val="edge"/>
          <c:yMode val="edge"/>
          <c:x val="4.8559915798710614E-2"/>
          <c:y val="8.5870238065275273E-2"/>
          <c:w val="0.93643176516632542"/>
          <c:h val="0.7514146927241826"/>
        </c:manualLayout>
      </c:layout>
      <c:lineChart>
        <c:grouping val="standard"/>
        <c:varyColors val="0"/>
        <c:ser>
          <c:idx val="48"/>
          <c:order val="0"/>
          <c:tx>
            <c:strRef>
              <c:f>'[Crude Mortality Rate HDFT.xlsx]Data'!$G$3</c:f>
              <c:strCache>
                <c:ptCount val="1"/>
                <c:pt idx="0">
                  <c:v>% mortality rate</c:v>
                </c:pt>
              </c:strCache>
            </c:strRef>
          </c:tx>
          <c:spPr>
            <a:ln>
              <a:solidFill>
                <a:schemeClr val="tx2">
                  <a:lumMod val="60000"/>
                  <a:lumOff val="40000"/>
                </a:schemeClr>
              </a:solidFill>
            </a:ln>
          </c:spPr>
          <c:marker>
            <c:spPr>
              <a:ln>
                <a:solidFill>
                  <a:schemeClr val="tx2">
                    <a:lumMod val="60000"/>
                    <a:lumOff val="40000"/>
                  </a:schemeClr>
                </a:solidFill>
              </a:ln>
            </c:spPr>
          </c:marker>
          <c:cat>
            <c:numRef>
              <c:f>'[Crude Mortality Rate HDFT.xlsx]Data'!$A$52:$A$228</c:f>
              <c:numCache>
                <c:formatCode>mmm\-yy</c:formatCode>
                <c:ptCount val="177"/>
                <c:pt idx="0">
                  <c:v>40269</c:v>
                </c:pt>
                <c:pt idx="1">
                  <c:v>40299</c:v>
                </c:pt>
                <c:pt idx="2">
                  <c:v>40330</c:v>
                </c:pt>
                <c:pt idx="3">
                  <c:v>40360</c:v>
                </c:pt>
                <c:pt idx="4">
                  <c:v>40391</c:v>
                </c:pt>
                <c:pt idx="5">
                  <c:v>40422</c:v>
                </c:pt>
                <c:pt idx="6">
                  <c:v>40452</c:v>
                </c:pt>
                <c:pt idx="7">
                  <c:v>40483</c:v>
                </c:pt>
                <c:pt idx="8">
                  <c:v>40513</c:v>
                </c:pt>
                <c:pt idx="9">
                  <c:v>40544</c:v>
                </c:pt>
                <c:pt idx="10">
                  <c:v>40575</c:v>
                </c:pt>
                <c:pt idx="11">
                  <c:v>40603</c:v>
                </c:pt>
                <c:pt idx="12">
                  <c:v>40634</c:v>
                </c:pt>
                <c:pt idx="13">
                  <c:v>40664</c:v>
                </c:pt>
                <c:pt idx="14">
                  <c:v>40695</c:v>
                </c:pt>
                <c:pt idx="15">
                  <c:v>40725</c:v>
                </c:pt>
                <c:pt idx="16">
                  <c:v>40756</c:v>
                </c:pt>
                <c:pt idx="17">
                  <c:v>40787</c:v>
                </c:pt>
                <c:pt idx="18">
                  <c:v>40817</c:v>
                </c:pt>
                <c:pt idx="19">
                  <c:v>40848</c:v>
                </c:pt>
                <c:pt idx="20">
                  <c:v>40878</c:v>
                </c:pt>
                <c:pt idx="21">
                  <c:v>40909</c:v>
                </c:pt>
                <c:pt idx="22">
                  <c:v>40940</c:v>
                </c:pt>
                <c:pt idx="23">
                  <c:v>40969</c:v>
                </c:pt>
                <c:pt idx="24">
                  <c:v>41000</c:v>
                </c:pt>
                <c:pt idx="25">
                  <c:v>41030</c:v>
                </c:pt>
                <c:pt idx="26">
                  <c:v>41061</c:v>
                </c:pt>
                <c:pt idx="27">
                  <c:v>41091</c:v>
                </c:pt>
                <c:pt idx="28">
                  <c:v>41122</c:v>
                </c:pt>
                <c:pt idx="29">
                  <c:v>41153</c:v>
                </c:pt>
                <c:pt idx="30">
                  <c:v>41183</c:v>
                </c:pt>
                <c:pt idx="31">
                  <c:v>41214</c:v>
                </c:pt>
                <c:pt idx="32">
                  <c:v>41244</c:v>
                </c:pt>
                <c:pt idx="33">
                  <c:v>41275</c:v>
                </c:pt>
                <c:pt idx="34">
                  <c:v>41306</c:v>
                </c:pt>
                <c:pt idx="35">
                  <c:v>41334</c:v>
                </c:pt>
                <c:pt idx="36">
                  <c:v>41365</c:v>
                </c:pt>
                <c:pt idx="37">
                  <c:v>41395</c:v>
                </c:pt>
                <c:pt idx="38">
                  <c:v>41426</c:v>
                </c:pt>
                <c:pt idx="39">
                  <c:v>41456</c:v>
                </c:pt>
                <c:pt idx="40">
                  <c:v>41487</c:v>
                </c:pt>
                <c:pt idx="41">
                  <c:v>41518</c:v>
                </c:pt>
                <c:pt idx="42">
                  <c:v>41548</c:v>
                </c:pt>
                <c:pt idx="43">
                  <c:v>41579</c:v>
                </c:pt>
                <c:pt idx="44">
                  <c:v>41609</c:v>
                </c:pt>
                <c:pt idx="45">
                  <c:v>41640</c:v>
                </c:pt>
                <c:pt idx="46">
                  <c:v>41671</c:v>
                </c:pt>
                <c:pt idx="47">
                  <c:v>41699</c:v>
                </c:pt>
                <c:pt idx="48">
                  <c:v>41730</c:v>
                </c:pt>
                <c:pt idx="49">
                  <c:v>41760</c:v>
                </c:pt>
                <c:pt idx="50">
                  <c:v>41791</c:v>
                </c:pt>
                <c:pt idx="51">
                  <c:v>41821</c:v>
                </c:pt>
                <c:pt idx="52">
                  <c:v>41852</c:v>
                </c:pt>
                <c:pt idx="53">
                  <c:v>41883</c:v>
                </c:pt>
                <c:pt idx="54">
                  <c:v>41913</c:v>
                </c:pt>
                <c:pt idx="55">
                  <c:v>41944</c:v>
                </c:pt>
                <c:pt idx="56">
                  <c:v>41974</c:v>
                </c:pt>
                <c:pt idx="57">
                  <c:v>42005</c:v>
                </c:pt>
                <c:pt idx="58">
                  <c:v>42036</c:v>
                </c:pt>
                <c:pt idx="59">
                  <c:v>42064</c:v>
                </c:pt>
                <c:pt idx="60">
                  <c:v>42095</c:v>
                </c:pt>
                <c:pt idx="61">
                  <c:v>42125</c:v>
                </c:pt>
                <c:pt idx="62">
                  <c:v>42156</c:v>
                </c:pt>
                <c:pt idx="63">
                  <c:v>42186</c:v>
                </c:pt>
                <c:pt idx="64">
                  <c:v>42217</c:v>
                </c:pt>
                <c:pt idx="65">
                  <c:v>42248</c:v>
                </c:pt>
                <c:pt idx="66">
                  <c:v>42278</c:v>
                </c:pt>
                <c:pt idx="67">
                  <c:v>42309</c:v>
                </c:pt>
                <c:pt idx="68">
                  <c:v>42339</c:v>
                </c:pt>
                <c:pt idx="69">
                  <c:v>42370</c:v>
                </c:pt>
                <c:pt idx="70">
                  <c:v>42401</c:v>
                </c:pt>
                <c:pt idx="71">
                  <c:v>42430</c:v>
                </c:pt>
                <c:pt idx="72">
                  <c:v>42461</c:v>
                </c:pt>
                <c:pt idx="73">
                  <c:v>42491</c:v>
                </c:pt>
                <c:pt idx="74">
                  <c:v>42522</c:v>
                </c:pt>
                <c:pt idx="75">
                  <c:v>42552</c:v>
                </c:pt>
                <c:pt idx="76">
                  <c:v>42583</c:v>
                </c:pt>
                <c:pt idx="77">
                  <c:v>42614</c:v>
                </c:pt>
                <c:pt idx="78">
                  <c:v>42644</c:v>
                </c:pt>
                <c:pt idx="79">
                  <c:v>42675</c:v>
                </c:pt>
                <c:pt idx="80">
                  <c:v>42705</c:v>
                </c:pt>
                <c:pt idx="81">
                  <c:v>42736</c:v>
                </c:pt>
                <c:pt idx="82">
                  <c:v>42767</c:v>
                </c:pt>
                <c:pt idx="83">
                  <c:v>42795</c:v>
                </c:pt>
                <c:pt idx="84">
                  <c:v>42826</c:v>
                </c:pt>
                <c:pt idx="85">
                  <c:v>42856</c:v>
                </c:pt>
                <c:pt idx="86">
                  <c:v>42887</c:v>
                </c:pt>
                <c:pt idx="87">
                  <c:v>42917</c:v>
                </c:pt>
                <c:pt idx="88">
                  <c:v>42948</c:v>
                </c:pt>
                <c:pt idx="89">
                  <c:v>42979</c:v>
                </c:pt>
                <c:pt idx="90">
                  <c:v>43009</c:v>
                </c:pt>
                <c:pt idx="91">
                  <c:v>43040</c:v>
                </c:pt>
                <c:pt idx="92">
                  <c:v>43070</c:v>
                </c:pt>
                <c:pt idx="93">
                  <c:v>43101</c:v>
                </c:pt>
                <c:pt idx="94">
                  <c:v>43132</c:v>
                </c:pt>
                <c:pt idx="95">
                  <c:v>43160</c:v>
                </c:pt>
                <c:pt idx="96">
                  <c:v>43191</c:v>
                </c:pt>
                <c:pt idx="97">
                  <c:v>43221</c:v>
                </c:pt>
                <c:pt idx="98">
                  <c:v>43252</c:v>
                </c:pt>
                <c:pt idx="99">
                  <c:v>43282</c:v>
                </c:pt>
                <c:pt idx="100">
                  <c:v>43313</c:v>
                </c:pt>
                <c:pt idx="101">
                  <c:v>43344</c:v>
                </c:pt>
                <c:pt idx="102">
                  <c:v>43374</c:v>
                </c:pt>
                <c:pt idx="103">
                  <c:v>43405</c:v>
                </c:pt>
                <c:pt idx="104">
                  <c:v>43435</c:v>
                </c:pt>
                <c:pt idx="105">
                  <c:v>43466</c:v>
                </c:pt>
                <c:pt idx="106">
                  <c:v>43497</c:v>
                </c:pt>
                <c:pt idx="107">
                  <c:v>43525</c:v>
                </c:pt>
                <c:pt idx="108">
                  <c:v>43556</c:v>
                </c:pt>
                <c:pt idx="109">
                  <c:v>43586</c:v>
                </c:pt>
                <c:pt idx="110">
                  <c:v>43617</c:v>
                </c:pt>
                <c:pt idx="111">
                  <c:v>43647</c:v>
                </c:pt>
                <c:pt idx="112">
                  <c:v>43678</c:v>
                </c:pt>
                <c:pt idx="113">
                  <c:v>43709</c:v>
                </c:pt>
                <c:pt idx="114">
                  <c:v>43739</c:v>
                </c:pt>
                <c:pt idx="115">
                  <c:v>43770</c:v>
                </c:pt>
                <c:pt idx="116">
                  <c:v>43800</c:v>
                </c:pt>
                <c:pt idx="117">
                  <c:v>43831</c:v>
                </c:pt>
                <c:pt idx="118">
                  <c:v>43862</c:v>
                </c:pt>
                <c:pt idx="119">
                  <c:v>43891</c:v>
                </c:pt>
                <c:pt idx="120">
                  <c:v>43922</c:v>
                </c:pt>
                <c:pt idx="121">
                  <c:v>43952</c:v>
                </c:pt>
                <c:pt idx="122">
                  <c:v>43983</c:v>
                </c:pt>
                <c:pt idx="123">
                  <c:v>44013</c:v>
                </c:pt>
                <c:pt idx="124">
                  <c:v>44044</c:v>
                </c:pt>
                <c:pt idx="125">
                  <c:v>44075</c:v>
                </c:pt>
                <c:pt idx="126">
                  <c:v>44105</c:v>
                </c:pt>
                <c:pt idx="127">
                  <c:v>44136</c:v>
                </c:pt>
                <c:pt idx="128">
                  <c:v>44166</c:v>
                </c:pt>
                <c:pt idx="129">
                  <c:v>44197</c:v>
                </c:pt>
                <c:pt idx="130">
                  <c:v>44228</c:v>
                </c:pt>
                <c:pt idx="131">
                  <c:v>44256</c:v>
                </c:pt>
                <c:pt idx="132">
                  <c:v>44287</c:v>
                </c:pt>
                <c:pt idx="133">
                  <c:v>44317</c:v>
                </c:pt>
                <c:pt idx="134">
                  <c:v>44348</c:v>
                </c:pt>
                <c:pt idx="135">
                  <c:v>44378</c:v>
                </c:pt>
                <c:pt idx="136">
                  <c:v>44409</c:v>
                </c:pt>
                <c:pt idx="137">
                  <c:v>44440</c:v>
                </c:pt>
                <c:pt idx="138">
                  <c:v>44470</c:v>
                </c:pt>
                <c:pt idx="139">
                  <c:v>44501</c:v>
                </c:pt>
                <c:pt idx="140">
                  <c:v>44531</c:v>
                </c:pt>
                <c:pt idx="141">
                  <c:v>44562</c:v>
                </c:pt>
                <c:pt idx="142">
                  <c:v>44593</c:v>
                </c:pt>
                <c:pt idx="143">
                  <c:v>44621</c:v>
                </c:pt>
                <c:pt idx="144">
                  <c:v>44652</c:v>
                </c:pt>
                <c:pt idx="145">
                  <c:v>44682</c:v>
                </c:pt>
                <c:pt idx="146">
                  <c:v>44713</c:v>
                </c:pt>
                <c:pt idx="147">
                  <c:v>44743</c:v>
                </c:pt>
                <c:pt idx="148">
                  <c:v>44774</c:v>
                </c:pt>
                <c:pt idx="149">
                  <c:v>44805</c:v>
                </c:pt>
                <c:pt idx="150">
                  <c:v>44835</c:v>
                </c:pt>
                <c:pt idx="151">
                  <c:v>44866</c:v>
                </c:pt>
                <c:pt idx="152">
                  <c:v>44896</c:v>
                </c:pt>
                <c:pt idx="153">
                  <c:v>44927</c:v>
                </c:pt>
                <c:pt idx="154">
                  <c:v>44958</c:v>
                </c:pt>
                <c:pt idx="155">
                  <c:v>44986</c:v>
                </c:pt>
                <c:pt idx="156">
                  <c:v>45017</c:v>
                </c:pt>
                <c:pt idx="157">
                  <c:v>45047</c:v>
                </c:pt>
                <c:pt idx="158">
                  <c:v>45078</c:v>
                </c:pt>
                <c:pt idx="159">
                  <c:v>45108</c:v>
                </c:pt>
                <c:pt idx="160">
                  <c:v>45139</c:v>
                </c:pt>
                <c:pt idx="161">
                  <c:v>45170</c:v>
                </c:pt>
                <c:pt idx="162">
                  <c:v>45200</c:v>
                </c:pt>
                <c:pt idx="163">
                  <c:v>45231</c:v>
                </c:pt>
                <c:pt idx="164">
                  <c:v>45261</c:v>
                </c:pt>
                <c:pt idx="165">
                  <c:v>45292</c:v>
                </c:pt>
                <c:pt idx="166">
                  <c:v>45323</c:v>
                </c:pt>
                <c:pt idx="167">
                  <c:v>45352</c:v>
                </c:pt>
                <c:pt idx="168">
                  <c:v>45383</c:v>
                </c:pt>
                <c:pt idx="169">
                  <c:v>45413</c:v>
                </c:pt>
                <c:pt idx="170">
                  <c:v>45444</c:v>
                </c:pt>
                <c:pt idx="171">
                  <c:v>45474</c:v>
                </c:pt>
                <c:pt idx="172">
                  <c:v>45505</c:v>
                </c:pt>
                <c:pt idx="173">
                  <c:v>45536</c:v>
                </c:pt>
                <c:pt idx="174">
                  <c:v>45566</c:v>
                </c:pt>
                <c:pt idx="175">
                  <c:v>45597</c:v>
                </c:pt>
                <c:pt idx="176">
                  <c:v>45627</c:v>
                </c:pt>
              </c:numCache>
            </c:numRef>
          </c:cat>
          <c:val>
            <c:numRef>
              <c:f>'[Crude Mortality Rate HDFT.xlsx]Data'!$G$52:$G$228</c:f>
              <c:numCache>
                <c:formatCode>0.00%</c:formatCode>
                <c:ptCount val="177"/>
                <c:pt idx="0">
                  <c:v>1.282051282051282E-2</c:v>
                </c:pt>
                <c:pt idx="1">
                  <c:v>1.1874032008260196E-2</c:v>
                </c:pt>
                <c:pt idx="2">
                  <c:v>1.6543649783659964E-2</c:v>
                </c:pt>
                <c:pt idx="3">
                  <c:v>1.6683022571148183E-2</c:v>
                </c:pt>
                <c:pt idx="4">
                  <c:v>1.5345268542199489E-2</c:v>
                </c:pt>
                <c:pt idx="5">
                  <c:v>1.4427860696517412E-2</c:v>
                </c:pt>
                <c:pt idx="6">
                  <c:v>1.3750592697961118E-2</c:v>
                </c:pt>
                <c:pt idx="7">
                  <c:v>1.2823557349798148E-2</c:v>
                </c:pt>
                <c:pt idx="8">
                  <c:v>1.8055899084837991E-2</c:v>
                </c:pt>
                <c:pt idx="9">
                  <c:v>1.9270298047276466E-2</c:v>
                </c:pt>
                <c:pt idx="10">
                  <c:v>1.303780964797914E-2</c:v>
                </c:pt>
                <c:pt idx="11">
                  <c:v>1.4529520295202951E-2</c:v>
                </c:pt>
                <c:pt idx="12">
                  <c:v>1.5172801348693454E-2</c:v>
                </c:pt>
                <c:pt idx="13">
                  <c:v>1.834862385321101E-2</c:v>
                </c:pt>
                <c:pt idx="14">
                  <c:v>1.4425553838227717E-2</c:v>
                </c:pt>
                <c:pt idx="15">
                  <c:v>1.0124019235636548E-2</c:v>
                </c:pt>
                <c:pt idx="16">
                  <c:v>1.1321683485109525E-2</c:v>
                </c:pt>
                <c:pt idx="17">
                  <c:v>8.971871968962172E-3</c:v>
                </c:pt>
                <c:pt idx="18">
                  <c:v>1.3309894525364139E-2</c:v>
                </c:pt>
                <c:pt idx="19">
                  <c:v>1.001630561378989E-2</c:v>
                </c:pt>
                <c:pt idx="20">
                  <c:v>1.6778523489932886E-2</c:v>
                </c:pt>
                <c:pt idx="21">
                  <c:v>1.8003273322422259E-2</c:v>
                </c:pt>
                <c:pt idx="22">
                  <c:v>1.1311672683513839E-2</c:v>
                </c:pt>
                <c:pt idx="23">
                  <c:v>1.0803802938634399E-2</c:v>
                </c:pt>
                <c:pt idx="24">
                  <c:v>1.3261922978831931E-2</c:v>
                </c:pt>
                <c:pt idx="25">
                  <c:v>1.507537688442211E-2</c:v>
                </c:pt>
                <c:pt idx="26">
                  <c:v>1.0760953112990008E-2</c:v>
                </c:pt>
                <c:pt idx="27">
                  <c:v>1.407442748091603E-2</c:v>
                </c:pt>
                <c:pt idx="28">
                  <c:v>1.3516896120150187E-2</c:v>
                </c:pt>
                <c:pt idx="29">
                  <c:v>1.2730903644533199E-2</c:v>
                </c:pt>
                <c:pt idx="30">
                  <c:v>1.1956771671648655E-2</c:v>
                </c:pt>
                <c:pt idx="31">
                  <c:v>1.1515430677107323E-2</c:v>
                </c:pt>
                <c:pt idx="32">
                  <c:v>1.6721560678996706E-2</c:v>
                </c:pt>
                <c:pt idx="33">
                  <c:v>1.6062302263324411E-2</c:v>
                </c:pt>
                <c:pt idx="34">
                  <c:v>1.6520392359318535E-2</c:v>
                </c:pt>
                <c:pt idx="35">
                  <c:v>1.5905074476142388E-2</c:v>
                </c:pt>
                <c:pt idx="36">
                  <c:v>1.8446349701221096E-2</c:v>
                </c:pt>
                <c:pt idx="37">
                  <c:v>1.3551521350038353E-2</c:v>
                </c:pt>
                <c:pt idx="38">
                  <c:v>9.4238018309100707E-3</c:v>
                </c:pt>
                <c:pt idx="39">
                  <c:v>9.9708171206225674E-3</c:v>
                </c:pt>
                <c:pt idx="40">
                  <c:v>1.1827956989247311E-2</c:v>
                </c:pt>
                <c:pt idx="41">
                  <c:v>9.6618357487922701E-3</c:v>
                </c:pt>
                <c:pt idx="42">
                  <c:v>9.1544206215369798E-3</c:v>
                </c:pt>
                <c:pt idx="43">
                  <c:v>1.4314414866901055E-2</c:v>
                </c:pt>
                <c:pt idx="44">
                  <c:v>1.5045395590142672E-2</c:v>
                </c:pt>
                <c:pt idx="45">
                  <c:v>1.6331360946745564E-2</c:v>
                </c:pt>
                <c:pt idx="46">
                  <c:v>1.6376397192617624E-2</c:v>
                </c:pt>
                <c:pt idx="47">
                  <c:v>1.3561741613133477E-2</c:v>
                </c:pt>
                <c:pt idx="48">
                  <c:v>1.4111922141119221E-2</c:v>
                </c:pt>
                <c:pt idx="49">
                  <c:v>1.2956419316843345E-2</c:v>
                </c:pt>
                <c:pt idx="50">
                  <c:v>9.2526690391459068E-3</c:v>
                </c:pt>
                <c:pt idx="51">
                  <c:v>1.078167115902965E-2</c:v>
                </c:pt>
                <c:pt idx="52">
                  <c:v>1.06951871657754E-2</c:v>
                </c:pt>
                <c:pt idx="53">
                  <c:v>1.0978743284279373E-2</c:v>
                </c:pt>
                <c:pt idx="54">
                  <c:v>1.3366560942455823E-2</c:v>
                </c:pt>
                <c:pt idx="55">
                  <c:v>1.7265193370165747E-2</c:v>
                </c:pt>
                <c:pt idx="56">
                  <c:v>1.5865820489573891E-2</c:v>
                </c:pt>
                <c:pt idx="57">
                  <c:v>1.6156828953037484E-2</c:v>
                </c:pt>
                <c:pt idx="58">
                  <c:v>1.4401858304297329E-2</c:v>
                </c:pt>
                <c:pt idx="59">
                  <c:v>1.2775602719967031E-2</c:v>
                </c:pt>
                <c:pt idx="60">
                  <c:v>1.1301890893284068E-2</c:v>
                </c:pt>
                <c:pt idx="61">
                  <c:v>1.0035682426404995E-2</c:v>
                </c:pt>
                <c:pt idx="62">
                  <c:v>9.0850097339390014E-3</c:v>
                </c:pt>
                <c:pt idx="63">
                  <c:v>1.3307576733204551E-2</c:v>
                </c:pt>
                <c:pt idx="64">
                  <c:v>1.3497513615912858E-2</c:v>
                </c:pt>
                <c:pt idx="65">
                  <c:v>9.4036697247706427E-3</c:v>
                </c:pt>
                <c:pt idx="66">
                  <c:v>1.0338143441740255E-2</c:v>
                </c:pt>
                <c:pt idx="67">
                  <c:v>9.6846846846846846E-3</c:v>
                </c:pt>
                <c:pt idx="68">
                  <c:v>1.0589318600368325E-2</c:v>
                </c:pt>
                <c:pt idx="69">
                  <c:v>1.5013648771610554E-2</c:v>
                </c:pt>
                <c:pt idx="70">
                  <c:v>1.4068527342863625E-2</c:v>
                </c:pt>
                <c:pt idx="71">
                  <c:v>1.3484123531970421E-2</c:v>
                </c:pt>
                <c:pt idx="72">
                  <c:v>1.19788067265607E-2</c:v>
                </c:pt>
                <c:pt idx="73">
                  <c:v>1.5649107339651754E-2</c:v>
                </c:pt>
                <c:pt idx="74">
                  <c:v>9.8214285714285712E-3</c:v>
                </c:pt>
                <c:pt idx="75">
                  <c:v>1.0035682426404995E-2</c:v>
                </c:pt>
                <c:pt idx="76">
                  <c:v>9.1100210231254385E-3</c:v>
                </c:pt>
                <c:pt idx="77">
                  <c:v>1.088646967340591E-2</c:v>
                </c:pt>
                <c:pt idx="78">
                  <c:v>1.2702584318878668E-2</c:v>
                </c:pt>
                <c:pt idx="79">
                  <c:v>1.2053288221611334E-2</c:v>
                </c:pt>
                <c:pt idx="80">
                  <c:v>1.1436111722014515E-2</c:v>
                </c:pt>
                <c:pt idx="81">
                  <c:v>1.6431924882629109E-2</c:v>
                </c:pt>
                <c:pt idx="82">
                  <c:v>1.357360168499883E-2</c:v>
                </c:pt>
                <c:pt idx="83">
                  <c:v>1.2685827552031714E-2</c:v>
                </c:pt>
                <c:pt idx="84">
                  <c:v>1.1201143946615824E-2</c:v>
                </c:pt>
                <c:pt idx="85">
                  <c:v>1.2831299957930165E-2</c:v>
                </c:pt>
                <c:pt idx="86">
                  <c:v>7.8522920203735139E-3</c:v>
                </c:pt>
                <c:pt idx="87">
                  <c:v>9.8619329388560158E-3</c:v>
                </c:pt>
                <c:pt idx="88">
                  <c:v>1.093018068257863E-2</c:v>
                </c:pt>
                <c:pt idx="89">
                  <c:v>0.01</c:v>
                </c:pt>
                <c:pt idx="90">
                  <c:v>1.1435832274459974E-2</c:v>
                </c:pt>
                <c:pt idx="91">
                  <c:v>1.0993403957625424E-2</c:v>
                </c:pt>
                <c:pt idx="92">
                  <c:v>1.2619669277632724E-2</c:v>
                </c:pt>
                <c:pt idx="93">
                  <c:v>1.5983054111303678E-2</c:v>
                </c:pt>
                <c:pt idx="94">
                  <c:v>1.329845214737301E-2</c:v>
                </c:pt>
                <c:pt idx="95">
                  <c:v>1.2618949110467521E-2</c:v>
                </c:pt>
                <c:pt idx="96">
                  <c:v>1.0723860589812333E-2</c:v>
                </c:pt>
                <c:pt idx="97">
                  <c:v>1.0125632852053253E-2</c:v>
                </c:pt>
                <c:pt idx="98">
                  <c:v>1.3230205577040504E-2</c:v>
                </c:pt>
                <c:pt idx="99">
                  <c:v>1.2120046171604464E-2</c:v>
                </c:pt>
                <c:pt idx="100">
                  <c:v>8.5279187817258878E-3</c:v>
                </c:pt>
                <c:pt idx="101">
                  <c:v>1.1139674378748929E-2</c:v>
                </c:pt>
                <c:pt idx="102">
                  <c:v>7.5402486244141023E-3</c:v>
                </c:pt>
                <c:pt idx="103">
                  <c:v>9.887005649717515E-3</c:v>
                </c:pt>
                <c:pt idx="104">
                  <c:v>1.1361245529139492E-2</c:v>
                </c:pt>
                <c:pt idx="105">
                  <c:v>9.7495698719174146E-3</c:v>
                </c:pt>
                <c:pt idx="106">
                  <c:v>1.1417697431018078E-2</c:v>
                </c:pt>
                <c:pt idx="107">
                  <c:v>1.3710012463647694E-2</c:v>
                </c:pt>
                <c:pt idx="108">
                  <c:v>1.3576415826221877E-2</c:v>
                </c:pt>
                <c:pt idx="109">
                  <c:v>1.0592826612153874E-2</c:v>
                </c:pt>
                <c:pt idx="110">
                  <c:v>1.0107135637760259E-2</c:v>
                </c:pt>
                <c:pt idx="111">
                  <c:v>7.544458415663733E-3</c:v>
                </c:pt>
                <c:pt idx="112">
                  <c:v>8.7735672951278695E-3</c:v>
                </c:pt>
                <c:pt idx="113">
                  <c:v>9.5620577548288389E-3</c:v>
                </c:pt>
                <c:pt idx="114">
                  <c:v>9.2790863668807989E-3</c:v>
                </c:pt>
                <c:pt idx="115">
                  <c:v>1.0480664980122878E-2</c:v>
                </c:pt>
                <c:pt idx="116">
                  <c:v>1.3293650793650793E-2</c:v>
                </c:pt>
                <c:pt idx="117">
                  <c:v>1.1291203788016754E-2</c:v>
                </c:pt>
                <c:pt idx="118">
                  <c:v>1.0340027838536488E-2</c:v>
                </c:pt>
                <c:pt idx="119">
                  <c:v>1.3634226610249177E-2</c:v>
                </c:pt>
                <c:pt idx="120">
                  <c:v>4.0380047505938245E-2</c:v>
                </c:pt>
                <c:pt idx="121">
                  <c:v>1.8525976641159889E-2</c:v>
                </c:pt>
                <c:pt idx="122">
                  <c:v>2.3194912083800971E-2</c:v>
                </c:pt>
                <c:pt idx="123">
                  <c:v>1.2594458438287154E-2</c:v>
                </c:pt>
                <c:pt idx="124">
                  <c:v>7.7930174563591026E-3</c:v>
                </c:pt>
                <c:pt idx="125">
                  <c:v>9.7867001254705148E-3</c:v>
                </c:pt>
                <c:pt idx="126">
                  <c:v>1.1261261261261261E-2</c:v>
                </c:pt>
                <c:pt idx="127">
                  <c:v>1.1625148279952551E-2</c:v>
                </c:pt>
                <c:pt idx="128">
                  <c:v>1.2124151309408341E-2</c:v>
                </c:pt>
                <c:pt idx="129">
                  <c:v>1.9225487503433124E-2</c:v>
                </c:pt>
                <c:pt idx="130">
                  <c:v>2.1358647285671908E-2</c:v>
                </c:pt>
                <c:pt idx="131">
                  <c:v>1.3302217036172695E-2</c:v>
                </c:pt>
                <c:pt idx="132">
                  <c:v>1.0947168015230843E-2</c:v>
                </c:pt>
                <c:pt idx="133">
                  <c:v>1.1305460750853242E-2</c:v>
                </c:pt>
                <c:pt idx="134">
                  <c:v>9.4577553593947032E-3</c:v>
                </c:pt>
                <c:pt idx="135">
                  <c:v>1.3169073916737469E-2</c:v>
                </c:pt>
                <c:pt idx="136">
                  <c:v>1.1846689895470384E-2</c:v>
                </c:pt>
                <c:pt idx="137">
                  <c:v>1.2869722284940167E-2</c:v>
                </c:pt>
                <c:pt idx="138">
                  <c:v>1.3215859030837005E-2</c:v>
                </c:pt>
                <c:pt idx="139">
                  <c:v>1.2935759701819776E-2</c:v>
                </c:pt>
                <c:pt idx="140">
                  <c:v>1.7954545454545456E-2</c:v>
                </c:pt>
                <c:pt idx="141">
                  <c:v>1.596378365499166E-2</c:v>
                </c:pt>
                <c:pt idx="142">
                  <c:v>1.7171717171717171E-2</c:v>
                </c:pt>
                <c:pt idx="143">
                  <c:v>1.4397628625873385E-2</c:v>
                </c:pt>
                <c:pt idx="144">
                  <c:v>1.8709073900841908E-2</c:v>
                </c:pt>
                <c:pt idx="145">
                  <c:v>1.3203463203463203E-2</c:v>
                </c:pt>
                <c:pt idx="146">
                  <c:v>1.1528706479133042E-2</c:v>
                </c:pt>
                <c:pt idx="147">
                  <c:v>1.1842404919152812E-2</c:v>
                </c:pt>
                <c:pt idx="148">
                  <c:v>1.3299701903233204E-2</c:v>
                </c:pt>
                <c:pt idx="149">
                  <c:v>1.4948006932409013E-2</c:v>
                </c:pt>
                <c:pt idx="150">
                  <c:v>1.4906027219701879E-2</c:v>
                </c:pt>
                <c:pt idx="151">
                  <c:v>1.2823081546784212E-2</c:v>
                </c:pt>
                <c:pt idx="152">
                  <c:v>2.0353982300884955E-2</c:v>
                </c:pt>
                <c:pt idx="153">
                  <c:v>2.0265991133628879E-2</c:v>
                </c:pt>
                <c:pt idx="154">
                  <c:v>1.4945054945054945E-2</c:v>
                </c:pt>
                <c:pt idx="155">
                  <c:v>1.5285126396237508E-2</c:v>
                </c:pt>
                <c:pt idx="156">
                  <c:v>1.0741859684457872E-2</c:v>
                </c:pt>
                <c:pt idx="157">
                  <c:v>7.7473182359952325E-3</c:v>
                </c:pt>
                <c:pt idx="158">
                  <c:v>8.1501964779508076E-3</c:v>
                </c:pt>
                <c:pt idx="159">
                  <c:v>7.6063334368208632E-3</c:v>
                </c:pt>
                <c:pt idx="160">
                  <c:v>7.7918030232195729E-3</c:v>
                </c:pt>
                <c:pt idx="161">
                  <c:v>1.0275502606105734E-2</c:v>
                </c:pt>
                <c:pt idx="162">
                  <c:v>8.49443468072642E-3</c:v>
                </c:pt>
                <c:pt idx="163">
                  <c:v>9.6547688706846106E-3</c:v>
                </c:pt>
                <c:pt idx="164">
                  <c:v>1.0631337912986588E-2</c:v>
                </c:pt>
                <c:pt idx="165">
                  <c:v>1.0866372980910427E-2</c:v>
                </c:pt>
                <c:pt idx="166">
                  <c:v>8.7626529687263935E-3</c:v>
                </c:pt>
                <c:pt idx="167">
                  <c:v>7.6726342710997444E-3</c:v>
                </c:pt>
                <c:pt idx="168">
                  <c:v>1.0064935064935065E-2</c:v>
                </c:pt>
                <c:pt idx="169">
                  <c:v>8.0451900034234844E-3</c:v>
                </c:pt>
                <c:pt idx="170">
                  <c:v>1.1069451883592216E-2</c:v>
                </c:pt>
                <c:pt idx="171">
                  <c:v>9.9793530626290441E-3</c:v>
                </c:pt>
                <c:pt idx="172">
                  <c:v>1.0382513661202186E-2</c:v>
                </c:pt>
                <c:pt idx="173">
                  <c:v>1.084206722081677E-2</c:v>
                </c:pt>
                <c:pt idx="174">
                  <c:v>1.0423560555923229E-2</c:v>
                </c:pt>
                <c:pt idx="175">
                  <c:v>1.0576414595452142E-2</c:v>
                </c:pt>
                <c:pt idx="176">
                  <c:v>1.4467923091566724E-2</c:v>
                </c:pt>
              </c:numCache>
            </c:numRef>
          </c:val>
          <c:smooth val="0"/>
          <c:extLst>
            <c:ext xmlns:c16="http://schemas.microsoft.com/office/drawing/2014/chart" uri="{C3380CC4-5D6E-409C-BE32-E72D297353CC}">
              <c16:uniqueId val="{00000000-94FB-4D31-B532-8B91B48D9579}"/>
            </c:ext>
          </c:extLst>
        </c:ser>
        <c:ser>
          <c:idx val="49"/>
          <c:order val="1"/>
          <c:tx>
            <c:strRef>
              <c:f>'[Crude Mortality Rate HDFT.xlsx]Data'!$H$3</c:f>
              <c:strCache>
                <c:ptCount val="1"/>
                <c:pt idx="0">
                  <c:v>Rolling 12 mths</c:v>
                </c:pt>
              </c:strCache>
            </c:strRef>
          </c:tx>
          <c:spPr>
            <a:ln>
              <a:solidFill>
                <a:schemeClr val="accent6">
                  <a:lumMod val="75000"/>
                </a:schemeClr>
              </a:solidFill>
            </a:ln>
          </c:spPr>
          <c:marker>
            <c:spPr>
              <a:ln>
                <a:solidFill>
                  <a:schemeClr val="accent6">
                    <a:lumMod val="75000"/>
                  </a:schemeClr>
                </a:solidFill>
              </a:ln>
            </c:spPr>
          </c:marker>
          <c:cat>
            <c:numRef>
              <c:f>'[Crude Mortality Rate HDFT.xlsx]Data'!$A$52:$A$228</c:f>
              <c:numCache>
                <c:formatCode>mmm\-yy</c:formatCode>
                <c:ptCount val="177"/>
                <c:pt idx="0">
                  <c:v>40269</c:v>
                </c:pt>
                <c:pt idx="1">
                  <c:v>40299</c:v>
                </c:pt>
                <c:pt idx="2">
                  <c:v>40330</c:v>
                </c:pt>
                <c:pt idx="3">
                  <c:v>40360</c:v>
                </c:pt>
                <c:pt idx="4">
                  <c:v>40391</c:v>
                </c:pt>
                <c:pt idx="5">
                  <c:v>40422</c:v>
                </c:pt>
                <c:pt idx="6">
                  <c:v>40452</c:v>
                </c:pt>
                <c:pt idx="7">
                  <c:v>40483</c:v>
                </c:pt>
                <c:pt idx="8">
                  <c:v>40513</c:v>
                </c:pt>
                <c:pt idx="9">
                  <c:v>40544</c:v>
                </c:pt>
                <c:pt idx="10">
                  <c:v>40575</c:v>
                </c:pt>
                <c:pt idx="11">
                  <c:v>40603</c:v>
                </c:pt>
                <c:pt idx="12">
                  <c:v>40634</c:v>
                </c:pt>
                <c:pt idx="13">
                  <c:v>40664</c:v>
                </c:pt>
                <c:pt idx="14">
                  <c:v>40695</c:v>
                </c:pt>
                <c:pt idx="15">
                  <c:v>40725</c:v>
                </c:pt>
                <c:pt idx="16">
                  <c:v>40756</c:v>
                </c:pt>
                <c:pt idx="17">
                  <c:v>40787</c:v>
                </c:pt>
                <c:pt idx="18">
                  <c:v>40817</c:v>
                </c:pt>
                <c:pt idx="19">
                  <c:v>40848</c:v>
                </c:pt>
                <c:pt idx="20">
                  <c:v>40878</c:v>
                </c:pt>
                <c:pt idx="21">
                  <c:v>40909</c:v>
                </c:pt>
                <c:pt idx="22">
                  <c:v>40940</c:v>
                </c:pt>
                <c:pt idx="23">
                  <c:v>40969</c:v>
                </c:pt>
                <c:pt idx="24">
                  <c:v>41000</c:v>
                </c:pt>
                <c:pt idx="25">
                  <c:v>41030</c:v>
                </c:pt>
                <c:pt idx="26">
                  <c:v>41061</c:v>
                </c:pt>
                <c:pt idx="27">
                  <c:v>41091</c:v>
                </c:pt>
                <c:pt idx="28">
                  <c:v>41122</c:v>
                </c:pt>
                <c:pt idx="29">
                  <c:v>41153</c:v>
                </c:pt>
                <c:pt idx="30">
                  <c:v>41183</c:v>
                </c:pt>
                <c:pt idx="31">
                  <c:v>41214</c:v>
                </c:pt>
                <c:pt idx="32">
                  <c:v>41244</c:v>
                </c:pt>
                <c:pt idx="33">
                  <c:v>41275</c:v>
                </c:pt>
                <c:pt idx="34">
                  <c:v>41306</c:v>
                </c:pt>
                <c:pt idx="35">
                  <c:v>41334</c:v>
                </c:pt>
                <c:pt idx="36">
                  <c:v>41365</c:v>
                </c:pt>
                <c:pt idx="37">
                  <c:v>41395</c:v>
                </c:pt>
                <c:pt idx="38">
                  <c:v>41426</c:v>
                </c:pt>
                <c:pt idx="39">
                  <c:v>41456</c:v>
                </c:pt>
                <c:pt idx="40">
                  <c:v>41487</c:v>
                </c:pt>
                <c:pt idx="41">
                  <c:v>41518</c:v>
                </c:pt>
                <c:pt idx="42">
                  <c:v>41548</c:v>
                </c:pt>
                <c:pt idx="43">
                  <c:v>41579</c:v>
                </c:pt>
                <c:pt idx="44">
                  <c:v>41609</c:v>
                </c:pt>
                <c:pt idx="45">
                  <c:v>41640</c:v>
                </c:pt>
                <c:pt idx="46">
                  <c:v>41671</c:v>
                </c:pt>
                <c:pt idx="47">
                  <c:v>41699</c:v>
                </c:pt>
                <c:pt idx="48">
                  <c:v>41730</c:v>
                </c:pt>
                <c:pt idx="49">
                  <c:v>41760</c:v>
                </c:pt>
                <c:pt idx="50">
                  <c:v>41791</c:v>
                </c:pt>
                <c:pt idx="51">
                  <c:v>41821</c:v>
                </c:pt>
                <c:pt idx="52">
                  <c:v>41852</c:v>
                </c:pt>
                <c:pt idx="53">
                  <c:v>41883</c:v>
                </c:pt>
                <c:pt idx="54">
                  <c:v>41913</c:v>
                </c:pt>
                <c:pt idx="55">
                  <c:v>41944</c:v>
                </c:pt>
                <c:pt idx="56">
                  <c:v>41974</c:v>
                </c:pt>
                <c:pt idx="57">
                  <c:v>42005</c:v>
                </c:pt>
                <c:pt idx="58">
                  <c:v>42036</c:v>
                </c:pt>
                <c:pt idx="59">
                  <c:v>42064</c:v>
                </c:pt>
                <c:pt idx="60">
                  <c:v>42095</c:v>
                </c:pt>
                <c:pt idx="61">
                  <c:v>42125</c:v>
                </c:pt>
                <c:pt idx="62">
                  <c:v>42156</c:v>
                </c:pt>
                <c:pt idx="63">
                  <c:v>42186</c:v>
                </c:pt>
                <c:pt idx="64">
                  <c:v>42217</c:v>
                </c:pt>
                <c:pt idx="65">
                  <c:v>42248</c:v>
                </c:pt>
                <c:pt idx="66">
                  <c:v>42278</c:v>
                </c:pt>
                <c:pt idx="67">
                  <c:v>42309</c:v>
                </c:pt>
                <c:pt idx="68">
                  <c:v>42339</c:v>
                </c:pt>
                <c:pt idx="69">
                  <c:v>42370</c:v>
                </c:pt>
                <c:pt idx="70">
                  <c:v>42401</c:v>
                </c:pt>
                <c:pt idx="71">
                  <c:v>42430</c:v>
                </c:pt>
                <c:pt idx="72">
                  <c:v>42461</c:v>
                </c:pt>
                <c:pt idx="73">
                  <c:v>42491</c:v>
                </c:pt>
                <c:pt idx="74">
                  <c:v>42522</c:v>
                </c:pt>
                <c:pt idx="75">
                  <c:v>42552</c:v>
                </c:pt>
                <c:pt idx="76">
                  <c:v>42583</c:v>
                </c:pt>
                <c:pt idx="77">
                  <c:v>42614</c:v>
                </c:pt>
                <c:pt idx="78">
                  <c:v>42644</c:v>
                </c:pt>
                <c:pt idx="79">
                  <c:v>42675</c:v>
                </c:pt>
                <c:pt idx="80">
                  <c:v>42705</c:v>
                </c:pt>
                <c:pt idx="81">
                  <c:v>42736</c:v>
                </c:pt>
                <c:pt idx="82">
                  <c:v>42767</c:v>
                </c:pt>
                <c:pt idx="83">
                  <c:v>42795</c:v>
                </c:pt>
                <c:pt idx="84">
                  <c:v>42826</c:v>
                </c:pt>
                <c:pt idx="85">
                  <c:v>42856</c:v>
                </c:pt>
                <c:pt idx="86">
                  <c:v>42887</c:v>
                </c:pt>
                <c:pt idx="87">
                  <c:v>42917</c:v>
                </c:pt>
                <c:pt idx="88">
                  <c:v>42948</c:v>
                </c:pt>
                <c:pt idx="89">
                  <c:v>42979</c:v>
                </c:pt>
                <c:pt idx="90">
                  <c:v>43009</c:v>
                </c:pt>
                <c:pt idx="91">
                  <c:v>43040</c:v>
                </c:pt>
                <c:pt idx="92">
                  <c:v>43070</c:v>
                </c:pt>
                <c:pt idx="93">
                  <c:v>43101</c:v>
                </c:pt>
                <c:pt idx="94">
                  <c:v>43132</c:v>
                </c:pt>
                <c:pt idx="95">
                  <c:v>43160</c:v>
                </c:pt>
                <c:pt idx="96">
                  <c:v>43191</c:v>
                </c:pt>
                <c:pt idx="97">
                  <c:v>43221</c:v>
                </c:pt>
                <c:pt idx="98">
                  <c:v>43252</c:v>
                </c:pt>
                <c:pt idx="99">
                  <c:v>43282</c:v>
                </c:pt>
                <c:pt idx="100">
                  <c:v>43313</c:v>
                </c:pt>
                <c:pt idx="101">
                  <c:v>43344</c:v>
                </c:pt>
                <c:pt idx="102">
                  <c:v>43374</c:v>
                </c:pt>
                <c:pt idx="103">
                  <c:v>43405</c:v>
                </c:pt>
                <c:pt idx="104">
                  <c:v>43435</c:v>
                </c:pt>
                <c:pt idx="105">
                  <c:v>43466</c:v>
                </c:pt>
                <c:pt idx="106">
                  <c:v>43497</c:v>
                </c:pt>
                <c:pt idx="107">
                  <c:v>43525</c:v>
                </c:pt>
                <c:pt idx="108">
                  <c:v>43556</c:v>
                </c:pt>
                <c:pt idx="109">
                  <c:v>43586</c:v>
                </c:pt>
                <c:pt idx="110">
                  <c:v>43617</c:v>
                </c:pt>
                <c:pt idx="111">
                  <c:v>43647</c:v>
                </c:pt>
                <c:pt idx="112">
                  <c:v>43678</c:v>
                </c:pt>
                <c:pt idx="113">
                  <c:v>43709</c:v>
                </c:pt>
                <c:pt idx="114">
                  <c:v>43739</c:v>
                </c:pt>
                <c:pt idx="115">
                  <c:v>43770</c:v>
                </c:pt>
                <c:pt idx="116">
                  <c:v>43800</c:v>
                </c:pt>
                <c:pt idx="117">
                  <c:v>43831</c:v>
                </c:pt>
                <c:pt idx="118">
                  <c:v>43862</c:v>
                </c:pt>
                <c:pt idx="119">
                  <c:v>43891</c:v>
                </c:pt>
                <c:pt idx="120">
                  <c:v>43922</c:v>
                </c:pt>
                <c:pt idx="121">
                  <c:v>43952</c:v>
                </c:pt>
                <c:pt idx="122">
                  <c:v>43983</c:v>
                </c:pt>
                <c:pt idx="123">
                  <c:v>44013</c:v>
                </c:pt>
                <c:pt idx="124">
                  <c:v>44044</c:v>
                </c:pt>
                <c:pt idx="125">
                  <c:v>44075</c:v>
                </c:pt>
                <c:pt idx="126">
                  <c:v>44105</c:v>
                </c:pt>
                <c:pt idx="127">
                  <c:v>44136</c:v>
                </c:pt>
                <c:pt idx="128">
                  <c:v>44166</c:v>
                </c:pt>
                <c:pt idx="129">
                  <c:v>44197</c:v>
                </c:pt>
                <c:pt idx="130">
                  <c:v>44228</c:v>
                </c:pt>
                <c:pt idx="131">
                  <c:v>44256</c:v>
                </c:pt>
                <c:pt idx="132">
                  <c:v>44287</c:v>
                </c:pt>
                <c:pt idx="133">
                  <c:v>44317</c:v>
                </c:pt>
                <c:pt idx="134">
                  <c:v>44348</c:v>
                </c:pt>
                <c:pt idx="135">
                  <c:v>44378</c:v>
                </c:pt>
                <c:pt idx="136">
                  <c:v>44409</c:v>
                </c:pt>
                <c:pt idx="137">
                  <c:v>44440</c:v>
                </c:pt>
                <c:pt idx="138">
                  <c:v>44470</c:v>
                </c:pt>
                <c:pt idx="139">
                  <c:v>44501</c:v>
                </c:pt>
                <c:pt idx="140">
                  <c:v>44531</c:v>
                </c:pt>
                <c:pt idx="141">
                  <c:v>44562</c:v>
                </c:pt>
                <c:pt idx="142">
                  <c:v>44593</c:v>
                </c:pt>
                <c:pt idx="143">
                  <c:v>44621</c:v>
                </c:pt>
                <c:pt idx="144">
                  <c:v>44652</c:v>
                </c:pt>
                <c:pt idx="145">
                  <c:v>44682</c:v>
                </c:pt>
                <c:pt idx="146">
                  <c:v>44713</c:v>
                </c:pt>
                <c:pt idx="147">
                  <c:v>44743</c:v>
                </c:pt>
                <c:pt idx="148">
                  <c:v>44774</c:v>
                </c:pt>
                <c:pt idx="149">
                  <c:v>44805</c:v>
                </c:pt>
                <c:pt idx="150">
                  <c:v>44835</c:v>
                </c:pt>
                <c:pt idx="151">
                  <c:v>44866</c:v>
                </c:pt>
                <c:pt idx="152">
                  <c:v>44896</c:v>
                </c:pt>
                <c:pt idx="153">
                  <c:v>44927</c:v>
                </c:pt>
                <c:pt idx="154">
                  <c:v>44958</c:v>
                </c:pt>
                <c:pt idx="155">
                  <c:v>44986</c:v>
                </c:pt>
                <c:pt idx="156">
                  <c:v>45017</c:v>
                </c:pt>
                <c:pt idx="157">
                  <c:v>45047</c:v>
                </c:pt>
                <c:pt idx="158">
                  <c:v>45078</c:v>
                </c:pt>
                <c:pt idx="159">
                  <c:v>45108</c:v>
                </c:pt>
                <c:pt idx="160">
                  <c:v>45139</c:v>
                </c:pt>
                <c:pt idx="161">
                  <c:v>45170</c:v>
                </c:pt>
                <c:pt idx="162">
                  <c:v>45200</c:v>
                </c:pt>
                <c:pt idx="163">
                  <c:v>45231</c:v>
                </c:pt>
                <c:pt idx="164">
                  <c:v>45261</c:v>
                </c:pt>
                <c:pt idx="165">
                  <c:v>45292</c:v>
                </c:pt>
                <c:pt idx="166">
                  <c:v>45323</c:v>
                </c:pt>
                <c:pt idx="167">
                  <c:v>45352</c:v>
                </c:pt>
                <c:pt idx="168">
                  <c:v>45383</c:v>
                </c:pt>
                <c:pt idx="169">
                  <c:v>45413</c:v>
                </c:pt>
                <c:pt idx="170">
                  <c:v>45444</c:v>
                </c:pt>
                <c:pt idx="171">
                  <c:v>45474</c:v>
                </c:pt>
                <c:pt idx="172">
                  <c:v>45505</c:v>
                </c:pt>
                <c:pt idx="173">
                  <c:v>45536</c:v>
                </c:pt>
                <c:pt idx="174">
                  <c:v>45566</c:v>
                </c:pt>
                <c:pt idx="175">
                  <c:v>45597</c:v>
                </c:pt>
                <c:pt idx="176">
                  <c:v>45627</c:v>
                </c:pt>
              </c:numCache>
            </c:numRef>
          </c:cat>
          <c:val>
            <c:numRef>
              <c:f>'[Crude Mortality Rate HDFT.xlsx]Data'!$H$52:$H$228</c:f>
              <c:numCache>
                <c:formatCode>0.00%</c:formatCode>
                <c:ptCount val="177"/>
                <c:pt idx="0">
                  <c:v>1.5227675931401537E-2</c:v>
                </c:pt>
                <c:pt idx="1">
                  <c:v>1.50312801780241E-2</c:v>
                </c:pt>
                <c:pt idx="2">
                  <c:v>1.5365239294710327E-2</c:v>
                </c:pt>
                <c:pt idx="3">
                  <c:v>1.5773466177241742E-2</c:v>
                </c:pt>
                <c:pt idx="4">
                  <c:v>1.5700256458372426E-2</c:v>
                </c:pt>
                <c:pt idx="5">
                  <c:v>1.5713571190396798E-2</c:v>
                </c:pt>
                <c:pt idx="6">
                  <c:v>1.5482392165034381E-2</c:v>
                </c:pt>
                <c:pt idx="7">
                  <c:v>1.5450109022946735E-2</c:v>
                </c:pt>
                <c:pt idx="8">
                  <c:v>1.520116134384073E-2</c:v>
                </c:pt>
                <c:pt idx="9">
                  <c:v>1.4955403443269032E-2</c:v>
                </c:pt>
                <c:pt idx="10">
                  <c:v>1.4938051630547382E-2</c:v>
                </c:pt>
                <c:pt idx="11">
                  <c:v>1.4927542249719719E-2</c:v>
                </c:pt>
                <c:pt idx="12">
                  <c:v>1.5113875957664447E-2</c:v>
                </c:pt>
                <c:pt idx="13">
                  <c:v>1.5640314474589703E-2</c:v>
                </c:pt>
                <c:pt idx="14">
                  <c:v>1.5467791090886319E-2</c:v>
                </c:pt>
                <c:pt idx="15">
                  <c:v>1.4922249429689626E-2</c:v>
                </c:pt>
                <c:pt idx="16">
                  <c:v>1.4582551007635499E-2</c:v>
                </c:pt>
                <c:pt idx="17">
                  <c:v>1.4113826553978101E-2</c:v>
                </c:pt>
                <c:pt idx="18">
                  <c:v>1.4078908832266432E-2</c:v>
                </c:pt>
                <c:pt idx="19">
                  <c:v>1.3825077270069335E-2</c:v>
                </c:pt>
                <c:pt idx="20">
                  <c:v>1.3725449357465686E-2</c:v>
                </c:pt>
                <c:pt idx="21">
                  <c:v>1.3657589156576718E-2</c:v>
                </c:pt>
                <c:pt idx="22">
                  <c:v>1.3506301572314134E-2</c:v>
                </c:pt>
                <c:pt idx="23">
                  <c:v>1.316057947357682E-2</c:v>
                </c:pt>
                <c:pt idx="24">
                  <c:v>1.3023576116017175E-2</c:v>
                </c:pt>
                <c:pt idx="25">
                  <c:v>1.2784490025288002E-2</c:v>
                </c:pt>
                <c:pt idx="26">
                  <c:v>1.2498244628563405E-2</c:v>
                </c:pt>
                <c:pt idx="27">
                  <c:v>1.2817441303306181E-2</c:v>
                </c:pt>
                <c:pt idx="28">
                  <c:v>1.2994802079168333E-2</c:v>
                </c:pt>
                <c:pt idx="29">
                  <c:v>1.3306079916636607E-2</c:v>
                </c:pt>
                <c:pt idx="30">
                  <c:v>1.3189042948934731E-2</c:v>
                </c:pt>
                <c:pt idx="31">
                  <c:v>1.3315314599149411E-2</c:v>
                </c:pt>
                <c:pt idx="32">
                  <c:v>1.3295270796318847E-2</c:v>
                </c:pt>
                <c:pt idx="33">
                  <c:v>1.3119679519278919E-2</c:v>
                </c:pt>
                <c:pt idx="34">
                  <c:v>1.3536379018612521E-2</c:v>
                </c:pt>
                <c:pt idx="35">
                  <c:v>1.3986156767462277E-2</c:v>
                </c:pt>
                <c:pt idx="36">
                  <c:v>1.4395256108782332E-2</c:v>
                </c:pt>
                <c:pt idx="37">
                  <c:v>1.4265659193195425E-2</c:v>
                </c:pt>
                <c:pt idx="38">
                  <c:v>1.4176459615743332E-2</c:v>
                </c:pt>
                <c:pt idx="39">
                  <c:v>1.3826319832257261E-2</c:v>
                </c:pt>
                <c:pt idx="40">
                  <c:v>1.3696914018457428E-2</c:v>
                </c:pt>
                <c:pt idx="41">
                  <c:v>1.3445975617406578E-2</c:v>
                </c:pt>
                <c:pt idx="42">
                  <c:v>1.3207903743989249E-2</c:v>
                </c:pt>
                <c:pt idx="43">
                  <c:v>1.345661511118634E-2</c:v>
                </c:pt>
                <c:pt idx="44">
                  <c:v>1.3313264505734456E-2</c:v>
                </c:pt>
                <c:pt idx="45">
                  <c:v>1.3344048047031954E-2</c:v>
                </c:pt>
                <c:pt idx="46">
                  <c:v>1.3330512060939484E-2</c:v>
                </c:pt>
                <c:pt idx="47">
                  <c:v>1.3136288998357963E-2</c:v>
                </c:pt>
                <c:pt idx="48">
                  <c:v>1.2792328790067626E-2</c:v>
                </c:pt>
                <c:pt idx="49">
                  <c:v>1.2745077655571034E-2</c:v>
                </c:pt>
                <c:pt idx="50">
                  <c:v>1.2695995719988477E-2</c:v>
                </c:pt>
                <c:pt idx="51">
                  <c:v>1.275082757775144E-2</c:v>
                </c:pt>
                <c:pt idx="52">
                  <c:v>1.2648990513257114E-2</c:v>
                </c:pt>
                <c:pt idx="53">
                  <c:v>1.2741545893719806E-2</c:v>
                </c:pt>
                <c:pt idx="54">
                  <c:v>1.3094928218168713E-2</c:v>
                </c:pt>
                <c:pt idx="55">
                  <c:v>1.3358513070271345E-2</c:v>
                </c:pt>
                <c:pt idx="56">
                  <c:v>1.3448153828005191E-2</c:v>
                </c:pt>
                <c:pt idx="57">
                  <c:v>1.3455800620136899E-2</c:v>
                </c:pt>
                <c:pt idx="58">
                  <c:v>1.331735508436902E-2</c:v>
                </c:pt>
                <c:pt idx="59">
                  <c:v>1.3247561417909023E-2</c:v>
                </c:pt>
                <c:pt idx="60">
                  <c:v>1.3011082113544386E-2</c:v>
                </c:pt>
                <c:pt idx="61">
                  <c:v>1.2764275090837208E-2</c:v>
                </c:pt>
                <c:pt idx="62">
                  <c:v>1.2723026623073331E-2</c:v>
                </c:pt>
                <c:pt idx="63">
                  <c:v>1.293456413310504E-2</c:v>
                </c:pt>
                <c:pt idx="64">
                  <c:v>1.3149830055162423E-2</c:v>
                </c:pt>
                <c:pt idx="65">
                  <c:v>1.3019287833827893E-2</c:v>
                </c:pt>
                <c:pt idx="66">
                  <c:v>1.2761085153927126E-2</c:v>
                </c:pt>
                <c:pt idx="67">
                  <c:v>1.2148585123052816E-2</c:v>
                </c:pt>
                <c:pt idx="68">
                  <c:v>1.1720840947265445E-2</c:v>
                </c:pt>
                <c:pt idx="69">
                  <c:v>1.1607424301422187E-2</c:v>
                </c:pt>
                <c:pt idx="70">
                  <c:v>1.1585512557141006E-2</c:v>
                </c:pt>
                <c:pt idx="71">
                  <c:v>1.1640447766744765E-2</c:v>
                </c:pt>
                <c:pt idx="72">
                  <c:v>1.1696999140476101E-2</c:v>
                </c:pt>
                <c:pt idx="73">
                  <c:v>1.2170764032778929E-2</c:v>
                </c:pt>
                <c:pt idx="74">
                  <c:v>1.2240772628584263E-2</c:v>
                </c:pt>
                <c:pt idx="75">
                  <c:v>1.1961767412164573E-2</c:v>
                </c:pt>
                <c:pt idx="76">
                  <c:v>1.1611112153214158E-2</c:v>
                </c:pt>
                <c:pt idx="77">
                  <c:v>1.17301504153259E-2</c:v>
                </c:pt>
                <c:pt idx="78">
                  <c:v>1.1934426229508197E-2</c:v>
                </c:pt>
                <c:pt idx="79">
                  <c:v>1.2131037567084078E-2</c:v>
                </c:pt>
                <c:pt idx="80">
                  <c:v>1.2196706703547626E-2</c:v>
                </c:pt>
                <c:pt idx="81">
                  <c:v>1.2334508927747106E-2</c:v>
                </c:pt>
                <c:pt idx="82">
                  <c:v>1.2291061214667826E-2</c:v>
                </c:pt>
                <c:pt idx="83">
                  <c:v>1.2226913897558289E-2</c:v>
                </c:pt>
                <c:pt idx="84">
                  <c:v>1.2167510354348826E-2</c:v>
                </c:pt>
                <c:pt idx="85">
                  <c:v>1.1935755931208977E-2</c:v>
                </c:pt>
                <c:pt idx="86">
                  <c:v>1.175740314747873E-2</c:v>
                </c:pt>
                <c:pt idx="87">
                  <c:v>1.1740469983410206E-2</c:v>
                </c:pt>
                <c:pt idx="88">
                  <c:v>1.1879030060848242E-2</c:v>
                </c:pt>
                <c:pt idx="89">
                  <c:v>1.1803314356166371E-2</c:v>
                </c:pt>
                <c:pt idx="90">
                  <c:v>1.1697703851021516E-2</c:v>
                </c:pt>
                <c:pt idx="91">
                  <c:v>1.160405872193437E-2</c:v>
                </c:pt>
                <c:pt idx="92">
                  <c:v>1.1701687847141085E-2</c:v>
                </c:pt>
                <c:pt idx="93">
                  <c:v>1.1702885643035269E-2</c:v>
                </c:pt>
                <c:pt idx="94">
                  <c:v>1.1690934211924752E-2</c:v>
                </c:pt>
                <c:pt idx="95">
                  <c:v>1.1681453692015006E-2</c:v>
                </c:pt>
                <c:pt idx="96">
                  <c:v>1.164127877147356E-2</c:v>
                </c:pt>
                <c:pt idx="97">
                  <c:v>1.1400651465798045E-2</c:v>
                </c:pt>
                <c:pt idx="98">
                  <c:v>1.1849292358166239E-2</c:v>
                </c:pt>
                <c:pt idx="99">
                  <c:v>1.203010114260071E-2</c:v>
                </c:pt>
                <c:pt idx="100">
                  <c:v>1.1819116135662899E-2</c:v>
                </c:pt>
                <c:pt idx="101">
                  <c:v>1.1908020804817957E-2</c:v>
                </c:pt>
                <c:pt idx="102">
                  <c:v>1.1580509269523987E-2</c:v>
                </c:pt>
                <c:pt idx="103">
                  <c:v>1.1487386064930188E-2</c:v>
                </c:pt>
                <c:pt idx="104">
                  <c:v>1.1388590981053062E-2</c:v>
                </c:pt>
                <c:pt idx="105">
                  <c:v>1.0836835031727939E-2</c:v>
                </c:pt>
                <c:pt idx="106">
                  <c:v>1.0698245555013541E-2</c:v>
                </c:pt>
                <c:pt idx="107">
                  <c:v>1.0785979908798735E-2</c:v>
                </c:pt>
                <c:pt idx="108">
                  <c:v>1.1029962235272589E-2</c:v>
                </c:pt>
                <c:pt idx="109">
                  <c:v>1.107103080273285E-2</c:v>
                </c:pt>
                <c:pt idx="110">
                  <c:v>1.0815570434118058E-2</c:v>
                </c:pt>
                <c:pt idx="111">
                  <c:v>1.0402906208718626E-2</c:v>
                </c:pt>
                <c:pt idx="112">
                  <c:v>1.0411201469045121E-2</c:v>
                </c:pt>
                <c:pt idx="113">
                  <c:v>1.0283820447419297E-2</c:v>
                </c:pt>
                <c:pt idx="114">
                  <c:v>1.0409638554216867E-2</c:v>
                </c:pt>
                <c:pt idx="115">
                  <c:v>1.0457121028840645E-2</c:v>
                </c:pt>
                <c:pt idx="116">
                  <c:v>1.0615543056325755E-2</c:v>
                </c:pt>
                <c:pt idx="117">
                  <c:v>1.0745562130177515E-2</c:v>
                </c:pt>
                <c:pt idx="118">
                  <c:v>1.0657334241238974E-2</c:v>
                </c:pt>
                <c:pt idx="119">
                  <c:v>1.0624870184856763E-2</c:v>
                </c:pt>
                <c:pt idx="120">
                  <c:v>1.1421277167523263E-2</c:v>
                </c:pt>
                <c:pt idx="121">
                  <c:v>1.1811440677966101E-2</c:v>
                </c:pt>
                <c:pt idx="122">
                  <c:v>1.2526211234963029E-2</c:v>
                </c:pt>
                <c:pt idx="123">
                  <c:v>1.3063973063973064E-2</c:v>
                </c:pt>
                <c:pt idx="124">
                  <c:v>1.3185886886364549E-2</c:v>
                </c:pt>
                <c:pt idx="125">
                  <c:v>1.3297105924004776E-2</c:v>
                </c:pt>
                <c:pt idx="126">
                  <c:v>1.3581340419250075E-2</c:v>
                </c:pt>
                <c:pt idx="127">
                  <c:v>1.3774702271198942E-2</c:v>
                </c:pt>
                <c:pt idx="128">
                  <c:v>1.3677710643383573E-2</c:v>
                </c:pt>
                <c:pt idx="129">
                  <c:v>1.444626497126901E-2</c:v>
                </c:pt>
                <c:pt idx="130">
                  <c:v>1.5500899820035993E-2</c:v>
                </c:pt>
                <c:pt idx="131">
                  <c:v>1.5465400661775285E-2</c:v>
                </c:pt>
                <c:pt idx="132">
                  <c:v>1.3834668858297377E-2</c:v>
                </c:pt>
                <c:pt idx="133">
                  <c:v>1.332376977916884E-2</c:v>
                </c:pt>
                <c:pt idx="134">
                  <c:v>1.2392655895868422E-2</c:v>
                </c:pt>
                <c:pt idx="135">
                  <c:v>1.2453400503778338E-2</c:v>
                </c:pt>
                <c:pt idx="136">
                  <c:v>1.269666022633177E-2</c:v>
                </c:pt>
                <c:pt idx="137">
                  <c:v>1.2938279326114998E-2</c:v>
                </c:pt>
                <c:pt idx="138">
                  <c:v>1.3108102836187727E-2</c:v>
                </c:pt>
                <c:pt idx="139">
                  <c:v>1.3213981244671782E-2</c:v>
                </c:pt>
                <c:pt idx="140">
                  <c:v>1.370259019426457E-2</c:v>
                </c:pt>
                <c:pt idx="141">
                  <c:v>1.3500114407749219E-2</c:v>
                </c:pt>
                <c:pt idx="142">
                  <c:v>1.3274753455395697E-2</c:v>
                </c:pt>
                <c:pt idx="143">
                  <c:v>1.3371734211067682E-2</c:v>
                </c:pt>
                <c:pt idx="144">
                  <c:v>1.3988234195536464E-2</c:v>
                </c:pt>
                <c:pt idx="145">
                  <c:v>1.4155618303195767E-2</c:v>
                </c:pt>
                <c:pt idx="146">
                  <c:v>1.4362183353437877E-2</c:v>
                </c:pt>
                <c:pt idx="147">
                  <c:v>1.4258897590018771E-2</c:v>
                </c:pt>
                <c:pt idx="148">
                  <c:v>1.4376361397859645E-2</c:v>
                </c:pt>
                <c:pt idx="149">
                  <c:v>1.4552112038050659E-2</c:v>
                </c:pt>
                <c:pt idx="150">
                  <c:v>1.4697292306532758E-2</c:v>
                </c:pt>
                <c:pt idx="151">
                  <c:v>1.4672622941627259E-2</c:v>
                </c:pt>
                <c:pt idx="152">
                  <c:v>1.4882228977452864E-2</c:v>
                </c:pt>
                <c:pt idx="153">
                  <c:v>1.5269289710308156E-2</c:v>
                </c:pt>
                <c:pt idx="154">
                  <c:v>1.5104746945261274E-2</c:v>
                </c:pt>
                <c:pt idx="155">
                  <c:v>1.5182021004516516E-2</c:v>
                </c:pt>
                <c:pt idx="156">
                  <c:v>1.4450917923714644E-2</c:v>
                </c:pt>
                <c:pt idx="157">
                  <c:v>1.3784907902554962E-2</c:v>
                </c:pt>
                <c:pt idx="158">
                  <c:v>1.3314018782857795E-2</c:v>
                </c:pt>
                <c:pt idx="159">
                  <c:v>1.2836667191683729E-2</c:v>
                </c:pt>
                <c:pt idx="160">
                  <c:v>1.2311964116803466E-2</c:v>
                </c:pt>
                <c:pt idx="161">
                  <c:v>1.1929928302165719E-2</c:v>
                </c:pt>
                <c:pt idx="162">
                  <c:v>1.1396827214936144E-2</c:v>
                </c:pt>
                <c:pt idx="163">
                  <c:v>1.113141486141528E-2</c:v>
                </c:pt>
                <c:pt idx="164">
                  <c:v>1.0520857497646112E-2</c:v>
                </c:pt>
                <c:pt idx="165">
                  <c:v>9.9394872339296138E-3</c:v>
                </c:pt>
                <c:pt idx="166">
                  <c:v>9.5447206974491449E-3</c:v>
                </c:pt>
                <c:pt idx="167">
                  <c:v>9.0161962288999482E-3</c:v>
                </c:pt>
                <c:pt idx="168">
                  <c:v>8.9679301764535001E-3</c:v>
                </c:pt>
                <c:pt idx="169">
                  <c:v>9.0037164276318311E-3</c:v>
                </c:pt>
                <c:pt idx="170">
                  <c:v>9.2300502395139625E-3</c:v>
                </c:pt>
                <c:pt idx="171">
                  <c:v>9.4239604193662382E-3</c:v>
                </c:pt>
                <c:pt idx="172">
                  <c:v>9.6324562100855923E-3</c:v>
                </c:pt>
                <c:pt idx="173">
                  <c:v>9.6644367571642013E-3</c:v>
                </c:pt>
                <c:pt idx="174">
                  <c:v>9.8355303432232782E-3</c:v>
                </c:pt>
                <c:pt idx="175">
                  <c:v>9.9107068808227134E-3</c:v>
                </c:pt>
                <c:pt idx="176">
                  <c:v>1.0183954675806113E-2</c:v>
                </c:pt>
              </c:numCache>
            </c:numRef>
          </c:val>
          <c:smooth val="0"/>
          <c:extLst>
            <c:ext xmlns:c16="http://schemas.microsoft.com/office/drawing/2014/chart" uri="{C3380CC4-5D6E-409C-BE32-E72D297353CC}">
              <c16:uniqueId val="{00000001-94FB-4D31-B532-8B91B48D9579}"/>
            </c:ext>
          </c:extLst>
        </c:ser>
        <c:ser>
          <c:idx val="0"/>
          <c:order val="2"/>
          <c:tx>
            <c:strRef>
              <c:f>'[Crude Mortality Rate HDFT.xlsx]Data'!$I$3</c:f>
              <c:strCache>
                <c:ptCount val="1"/>
                <c:pt idx="0">
                  <c:v>National</c:v>
                </c:pt>
              </c:strCache>
            </c:strRef>
          </c:tx>
          <c:cat>
            <c:numRef>
              <c:f>'[Crude Mortality Rate HDFT.xlsx]Data'!$A$52:$A$228</c:f>
              <c:numCache>
                <c:formatCode>mmm\-yy</c:formatCode>
                <c:ptCount val="177"/>
                <c:pt idx="0">
                  <c:v>40269</c:v>
                </c:pt>
                <c:pt idx="1">
                  <c:v>40299</c:v>
                </c:pt>
                <c:pt idx="2">
                  <c:v>40330</c:v>
                </c:pt>
                <c:pt idx="3">
                  <c:v>40360</c:v>
                </c:pt>
                <c:pt idx="4">
                  <c:v>40391</c:v>
                </c:pt>
                <c:pt idx="5">
                  <c:v>40422</c:v>
                </c:pt>
                <c:pt idx="6">
                  <c:v>40452</c:v>
                </c:pt>
                <c:pt idx="7">
                  <c:v>40483</c:v>
                </c:pt>
                <c:pt idx="8">
                  <c:v>40513</c:v>
                </c:pt>
                <c:pt idx="9">
                  <c:v>40544</c:v>
                </c:pt>
                <c:pt idx="10">
                  <c:v>40575</c:v>
                </c:pt>
                <c:pt idx="11">
                  <c:v>40603</c:v>
                </c:pt>
                <c:pt idx="12">
                  <c:v>40634</c:v>
                </c:pt>
                <c:pt idx="13">
                  <c:v>40664</c:v>
                </c:pt>
                <c:pt idx="14">
                  <c:v>40695</c:v>
                </c:pt>
                <c:pt idx="15">
                  <c:v>40725</c:v>
                </c:pt>
                <c:pt idx="16">
                  <c:v>40756</c:v>
                </c:pt>
                <c:pt idx="17">
                  <c:v>40787</c:v>
                </c:pt>
                <c:pt idx="18">
                  <c:v>40817</c:v>
                </c:pt>
                <c:pt idx="19">
                  <c:v>40848</c:v>
                </c:pt>
                <c:pt idx="20">
                  <c:v>40878</c:v>
                </c:pt>
                <c:pt idx="21">
                  <c:v>40909</c:v>
                </c:pt>
                <c:pt idx="22">
                  <c:v>40940</c:v>
                </c:pt>
                <c:pt idx="23">
                  <c:v>40969</c:v>
                </c:pt>
                <c:pt idx="24">
                  <c:v>41000</c:v>
                </c:pt>
                <c:pt idx="25">
                  <c:v>41030</c:v>
                </c:pt>
                <c:pt idx="26">
                  <c:v>41061</c:v>
                </c:pt>
                <c:pt idx="27">
                  <c:v>41091</c:v>
                </c:pt>
                <c:pt idx="28">
                  <c:v>41122</c:v>
                </c:pt>
                <c:pt idx="29">
                  <c:v>41153</c:v>
                </c:pt>
                <c:pt idx="30">
                  <c:v>41183</c:v>
                </c:pt>
                <c:pt idx="31">
                  <c:v>41214</c:v>
                </c:pt>
                <c:pt idx="32">
                  <c:v>41244</c:v>
                </c:pt>
                <c:pt idx="33">
                  <c:v>41275</c:v>
                </c:pt>
                <c:pt idx="34">
                  <c:v>41306</c:v>
                </c:pt>
                <c:pt idx="35">
                  <c:v>41334</c:v>
                </c:pt>
                <c:pt idx="36">
                  <c:v>41365</c:v>
                </c:pt>
                <c:pt idx="37">
                  <c:v>41395</c:v>
                </c:pt>
                <c:pt idx="38">
                  <c:v>41426</c:v>
                </c:pt>
                <c:pt idx="39">
                  <c:v>41456</c:v>
                </c:pt>
                <c:pt idx="40">
                  <c:v>41487</c:v>
                </c:pt>
                <c:pt idx="41">
                  <c:v>41518</c:v>
                </c:pt>
                <c:pt idx="42">
                  <c:v>41548</c:v>
                </c:pt>
                <c:pt idx="43">
                  <c:v>41579</c:v>
                </c:pt>
                <c:pt idx="44">
                  <c:v>41609</c:v>
                </c:pt>
                <c:pt idx="45">
                  <c:v>41640</c:v>
                </c:pt>
                <c:pt idx="46">
                  <c:v>41671</c:v>
                </c:pt>
                <c:pt idx="47">
                  <c:v>41699</c:v>
                </c:pt>
                <c:pt idx="48">
                  <c:v>41730</c:v>
                </c:pt>
                <c:pt idx="49">
                  <c:v>41760</c:v>
                </c:pt>
                <c:pt idx="50">
                  <c:v>41791</c:v>
                </c:pt>
                <c:pt idx="51">
                  <c:v>41821</c:v>
                </c:pt>
                <c:pt idx="52">
                  <c:v>41852</c:v>
                </c:pt>
                <c:pt idx="53">
                  <c:v>41883</c:v>
                </c:pt>
                <c:pt idx="54">
                  <c:v>41913</c:v>
                </c:pt>
                <c:pt idx="55">
                  <c:v>41944</c:v>
                </c:pt>
                <c:pt idx="56">
                  <c:v>41974</c:v>
                </c:pt>
                <c:pt idx="57">
                  <c:v>42005</c:v>
                </c:pt>
                <c:pt idx="58">
                  <c:v>42036</c:v>
                </c:pt>
                <c:pt idx="59">
                  <c:v>42064</c:v>
                </c:pt>
                <c:pt idx="60">
                  <c:v>42095</c:v>
                </c:pt>
                <c:pt idx="61">
                  <c:v>42125</c:v>
                </c:pt>
                <c:pt idx="62">
                  <c:v>42156</c:v>
                </c:pt>
                <c:pt idx="63">
                  <c:v>42186</c:v>
                </c:pt>
                <c:pt idx="64">
                  <c:v>42217</c:v>
                </c:pt>
                <c:pt idx="65">
                  <c:v>42248</c:v>
                </c:pt>
                <c:pt idx="66">
                  <c:v>42278</c:v>
                </c:pt>
                <c:pt idx="67">
                  <c:v>42309</c:v>
                </c:pt>
                <c:pt idx="68">
                  <c:v>42339</c:v>
                </c:pt>
                <c:pt idx="69">
                  <c:v>42370</c:v>
                </c:pt>
                <c:pt idx="70">
                  <c:v>42401</c:v>
                </c:pt>
                <c:pt idx="71">
                  <c:v>42430</c:v>
                </c:pt>
                <c:pt idx="72">
                  <c:v>42461</c:v>
                </c:pt>
                <c:pt idx="73">
                  <c:v>42491</c:v>
                </c:pt>
                <c:pt idx="74">
                  <c:v>42522</c:v>
                </c:pt>
                <c:pt idx="75">
                  <c:v>42552</c:v>
                </c:pt>
                <c:pt idx="76">
                  <c:v>42583</c:v>
                </c:pt>
                <c:pt idx="77">
                  <c:v>42614</c:v>
                </c:pt>
                <c:pt idx="78">
                  <c:v>42644</c:v>
                </c:pt>
                <c:pt idx="79">
                  <c:v>42675</c:v>
                </c:pt>
                <c:pt idx="80">
                  <c:v>42705</c:v>
                </c:pt>
                <c:pt idx="81">
                  <c:v>42736</c:v>
                </c:pt>
                <c:pt idx="82">
                  <c:v>42767</c:v>
                </c:pt>
                <c:pt idx="83">
                  <c:v>42795</c:v>
                </c:pt>
                <c:pt idx="84">
                  <c:v>42826</c:v>
                </c:pt>
                <c:pt idx="85">
                  <c:v>42856</c:v>
                </c:pt>
                <c:pt idx="86">
                  <c:v>42887</c:v>
                </c:pt>
                <c:pt idx="87">
                  <c:v>42917</c:v>
                </c:pt>
                <c:pt idx="88">
                  <c:v>42948</c:v>
                </c:pt>
                <c:pt idx="89">
                  <c:v>42979</c:v>
                </c:pt>
                <c:pt idx="90">
                  <c:v>43009</c:v>
                </c:pt>
                <c:pt idx="91">
                  <c:v>43040</c:v>
                </c:pt>
                <c:pt idx="92">
                  <c:v>43070</c:v>
                </c:pt>
                <c:pt idx="93">
                  <c:v>43101</c:v>
                </c:pt>
                <c:pt idx="94">
                  <c:v>43132</c:v>
                </c:pt>
                <c:pt idx="95">
                  <c:v>43160</c:v>
                </c:pt>
                <c:pt idx="96">
                  <c:v>43191</c:v>
                </c:pt>
                <c:pt idx="97">
                  <c:v>43221</c:v>
                </c:pt>
                <c:pt idx="98">
                  <c:v>43252</c:v>
                </c:pt>
                <c:pt idx="99">
                  <c:v>43282</c:v>
                </c:pt>
                <c:pt idx="100">
                  <c:v>43313</c:v>
                </c:pt>
                <c:pt idx="101">
                  <c:v>43344</c:v>
                </c:pt>
                <c:pt idx="102">
                  <c:v>43374</c:v>
                </c:pt>
                <c:pt idx="103">
                  <c:v>43405</c:v>
                </c:pt>
                <c:pt idx="104">
                  <c:v>43435</c:v>
                </c:pt>
                <c:pt idx="105">
                  <c:v>43466</c:v>
                </c:pt>
                <c:pt idx="106">
                  <c:v>43497</c:v>
                </c:pt>
                <c:pt idx="107">
                  <c:v>43525</c:v>
                </c:pt>
                <c:pt idx="108">
                  <c:v>43556</c:v>
                </c:pt>
                <c:pt idx="109">
                  <c:v>43586</c:v>
                </c:pt>
                <c:pt idx="110">
                  <c:v>43617</c:v>
                </c:pt>
                <c:pt idx="111">
                  <c:v>43647</c:v>
                </c:pt>
                <c:pt idx="112">
                  <c:v>43678</c:v>
                </c:pt>
                <c:pt idx="113">
                  <c:v>43709</c:v>
                </c:pt>
                <c:pt idx="114">
                  <c:v>43739</c:v>
                </c:pt>
                <c:pt idx="115">
                  <c:v>43770</c:v>
                </c:pt>
                <c:pt idx="116">
                  <c:v>43800</c:v>
                </c:pt>
                <c:pt idx="117">
                  <c:v>43831</c:v>
                </c:pt>
                <c:pt idx="118">
                  <c:v>43862</c:v>
                </c:pt>
                <c:pt idx="119">
                  <c:v>43891</c:v>
                </c:pt>
                <c:pt idx="120">
                  <c:v>43922</c:v>
                </c:pt>
                <c:pt idx="121">
                  <c:v>43952</c:v>
                </c:pt>
                <c:pt idx="122">
                  <c:v>43983</c:v>
                </c:pt>
                <c:pt idx="123">
                  <c:v>44013</c:v>
                </c:pt>
                <c:pt idx="124">
                  <c:v>44044</c:v>
                </c:pt>
                <c:pt idx="125">
                  <c:v>44075</c:v>
                </c:pt>
                <c:pt idx="126">
                  <c:v>44105</c:v>
                </c:pt>
                <c:pt idx="127">
                  <c:v>44136</c:v>
                </c:pt>
                <c:pt idx="128">
                  <c:v>44166</c:v>
                </c:pt>
                <c:pt idx="129">
                  <c:v>44197</c:v>
                </c:pt>
                <c:pt idx="130">
                  <c:v>44228</c:v>
                </c:pt>
                <c:pt idx="131">
                  <c:v>44256</c:v>
                </c:pt>
                <c:pt idx="132">
                  <c:v>44287</c:v>
                </c:pt>
                <c:pt idx="133">
                  <c:v>44317</c:v>
                </c:pt>
                <c:pt idx="134">
                  <c:v>44348</c:v>
                </c:pt>
                <c:pt idx="135">
                  <c:v>44378</c:v>
                </c:pt>
                <c:pt idx="136">
                  <c:v>44409</c:v>
                </c:pt>
                <c:pt idx="137">
                  <c:v>44440</c:v>
                </c:pt>
                <c:pt idx="138">
                  <c:v>44470</c:v>
                </c:pt>
                <c:pt idx="139">
                  <c:v>44501</c:v>
                </c:pt>
                <c:pt idx="140">
                  <c:v>44531</c:v>
                </c:pt>
                <c:pt idx="141">
                  <c:v>44562</c:v>
                </c:pt>
                <c:pt idx="142">
                  <c:v>44593</c:v>
                </c:pt>
                <c:pt idx="143">
                  <c:v>44621</c:v>
                </c:pt>
                <c:pt idx="144">
                  <c:v>44652</c:v>
                </c:pt>
                <c:pt idx="145">
                  <c:v>44682</c:v>
                </c:pt>
                <c:pt idx="146">
                  <c:v>44713</c:v>
                </c:pt>
                <c:pt idx="147">
                  <c:v>44743</c:v>
                </c:pt>
                <c:pt idx="148">
                  <c:v>44774</c:v>
                </c:pt>
                <c:pt idx="149">
                  <c:v>44805</c:v>
                </c:pt>
                <c:pt idx="150">
                  <c:v>44835</c:v>
                </c:pt>
                <c:pt idx="151">
                  <c:v>44866</c:v>
                </c:pt>
                <c:pt idx="152">
                  <c:v>44896</c:v>
                </c:pt>
                <c:pt idx="153">
                  <c:v>44927</c:v>
                </c:pt>
                <c:pt idx="154">
                  <c:v>44958</c:v>
                </c:pt>
                <c:pt idx="155">
                  <c:v>44986</c:v>
                </c:pt>
                <c:pt idx="156">
                  <c:v>45017</c:v>
                </c:pt>
                <c:pt idx="157">
                  <c:v>45047</c:v>
                </c:pt>
                <c:pt idx="158">
                  <c:v>45078</c:v>
                </c:pt>
                <c:pt idx="159">
                  <c:v>45108</c:v>
                </c:pt>
                <c:pt idx="160">
                  <c:v>45139</c:v>
                </c:pt>
                <c:pt idx="161">
                  <c:v>45170</c:v>
                </c:pt>
                <c:pt idx="162">
                  <c:v>45200</c:v>
                </c:pt>
                <c:pt idx="163">
                  <c:v>45231</c:v>
                </c:pt>
                <c:pt idx="164">
                  <c:v>45261</c:v>
                </c:pt>
                <c:pt idx="165">
                  <c:v>45292</c:v>
                </c:pt>
                <c:pt idx="166">
                  <c:v>45323</c:v>
                </c:pt>
                <c:pt idx="167">
                  <c:v>45352</c:v>
                </c:pt>
                <c:pt idx="168">
                  <c:v>45383</c:v>
                </c:pt>
                <c:pt idx="169">
                  <c:v>45413</c:v>
                </c:pt>
                <c:pt idx="170">
                  <c:v>45444</c:v>
                </c:pt>
                <c:pt idx="171">
                  <c:v>45474</c:v>
                </c:pt>
                <c:pt idx="172">
                  <c:v>45505</c:v>
                </c:pt>
                <c:pt idx="173">
                  <c:v>45536</c:v>
                </c:pt>
                <c:pt idx="174">
                  <c:v>45566</c:v>
                </c:pt>
                <c:pt idx="175">
                  <c:v>45597</c:v>
                </c:pt>
                <c:pt idx="176">
                  <c:v>45627</c:v>
                </c:pt>
              </c:numCache>
            </c:numRef>
          </c:cat>
          <c:val>
            <c:numRef>
              <c:f>'[Crude Mortality Rate HDFT.xlsx]Data'!$I$52:$I$228</c:f>
              <c:numCache>
                <c:formatCode>General</c:formatCode>
                <c:ptCount val="177"/>
                <c:pt idx="108" formatCode="0.0%">
                  <c:v>1.2E-2</c:v>
                </c:pt>
                <c:pt idx="109" formatCode="0.0%">
                  <c:v>1.0999999999999999E-2</c:v>
                </c:pt>
                <c:pt idx="110" formatCode="0.0%">
                  <c:v>0.01</c:v>
                </c:pt>
                <c:pt idx="111" formatCode="0.0%">
                  <c:v>0.01</c:v>
                </c:pt>
                <c:pt idx="112" formatCode="0.0%">
                  <c:v>0.01</c:v>
                </c:pt>
                <c:pt idx="113" formatCode="0.0%">
                  <c:v>0.01</c:v>
                </c:pt>
                <c:pt idx="114" formatCode="0.0%">
                  <c:v>0.01</c:v>
                </c:pt>
                <c:pt idx="115" formatCode="0.0%">
                  <c:v>1.0999999999999999E-2</c:v>
                </c:pt>
                <c:pt idx="116" formatCode="0.0%">
                  <c:v>1.2999999999999999E-2</c:v>
                </c:pt>
                <c:pt idx="117" formatCode="0.0%">
                  <c:v>1.2999999999999999E-2</c:v>
                </c:pt>
                <c:pt idx="118" formatCode="0.0%">
                  <c:v>1.0999999999999999E-2</c:v>
                </c:pt>
                <c:pt idx="119" formatCode="0.0%">
                  <c:v>1.7000000000000001E-2</c:v>
                </c:pt>
                <c:pt idx="120" formatCode="0.0%">
                  <c:v>0.04</c:v>
                </c:pt>
                <c:pt idx="121" formatCode="0.0%">
                  <c:v>0.02</c:v>
                </c:pt>
                <c:pt idx="122" formatCode="0.0%">
                  <c:v>1.2999999999999999E-2</c:v>
                </c:pt>
                <c:pt idx="123" formatCode="0.0%">
                  <c:v>1.0999999999999999E-2</c:v>
                </c:pt>
                <c:pt idx="124" formatCode="0.0%">
                  <c:v>1.2E-2</c:v>
                </c:pt>
                <c:pt idx="125" formatCode="0.0%">
                  <c:v>1.0999999999999999E-2</c:v>
                </c:pt>
                <c:pt idx="126" formatCode="0.0%">
                  <c:v>1.2999999999999999E-2</c:v>
                </c:pt>
                <c:pt idx="127" formatCode="0.0%">
                  <c:v>1.6E-2</c:v>
                </c:pt>
                <c:pt idx="128" formatCode="0.0%">
                  <c:v>1.9E-2</c:v>
                </c:pt>
                <c:pt idx="129" formatCode="0.0%">
                  <c:v>3.1E-2</c:v>
                </c:pt>
                <c:pt idx="130" formatCode="0.0%">
                  <c:v>1.9E-2</c:v>
                </c:pt>
                <c:pt idx="131" formatCode="0.0%">
                  <c:v>1.2E-2</c:v>
                </c:pt>
                <c:pt idx="132" formatCode="0.0%">
                  <c:v>1.0999999999999999E-2</c:v>
                </c:pt>
                <c:pt idx="133" formatCode="0.0%">
                  <c:v>1.0999999999999999E-2</c:v>
                </c:pt>
                <c:pt idx="134" formatCode="0.0%">
                  <c:v>0.01</c:v>
                </c:pt>
                <c:pt idx="135" formatCode="0.0%">
                  <c:v>1.0999999999999999E-2</c:v>
                </c:pt>
                <c:pt idx="136" formatCode="0.0%">
                  <c:v>1.2E-2</c:v>
                </c:pt>
                <c:pt idx="137" formatCode="0.0%">
                  <c:v>1.2E-2</c:v>
                </c:pt>
                <c:pt idx="138" formatCode="0.0%">
                  <c:v>1.2999999999999999E-2</c:v>
                </c:pt>
                <c:pt idx="139" formatCode="0.0%">
                  <c:v>1.2999999999999999E-2</c:v>
                </c:pt>
                <c:pt idx="140" formatCode="0.0%">
                  <c:v>1.4999999999999999E-2</c:v>
                </c:pt>
                <c:pt idx="141" formatCode="0.0%">
                  <c:v>1.4999999999999999E-2</c:v>
                </c:pt>
                <c:pt idx="142" formatCode="0.0%">
                  <c:v>1.2999999999999999E-2</c:v>
                </c:pt>
                <c:pt idx="143" formatCode="0.0%">
                  <c:v>1.2E-2</c:v>
                </c:pt>
                <c:pt idx="144" formatCode="0.0%">
                  <c:v>1.4E-2</c:v>
                </c:pt>
                <c:pt idx="145" formatCode="0.0%">
                  <c:v>1.2E-2</c:v>
                </c:pt>
                <c:pt idx="146" formatCode="0.0%">
                  <c:v>1.0999999999999999E-2</c:v>
                </c:pt>
                <c:pt idx="147" formatCode="0.0%">
                  <c:v>1.2999999999999999E-2</c:v>
                </c:pt>
                <c:pt idx="148" formatCode="0.0%">
                  <c:v>1.2E-2</c:v>
                </c:pt>
                <c:pt idx="149" formatCode="0.0%">
                  <c:v>1.0999999999999999E-2</c:v>
                </c:pt>
                <c:pt idx="150" formatCode="0.0%">
                  <c:v>1.2999999999999999E-2</c:v>
                </c:pt>
                <c:pt idx="151" formatCode="0.0%">
                  <c:v>1.2E-2</c:v>
                </c:pt>
                <c:pt idx="152" formatCode="0.0%">
                  <c:v>1.7000000000000001E-2</c:v>
                </c:pt>
                <c:pt idx="153" formatCode="0.0%">
                  <c:v>1.4999999999999999E-2</c:v>
                </c:pt>
                <c:pt idx="154" formatCode="0.0%">
                  <c:v>1.2E-2</c:v>
                </c:pt>
                <c:pt idx="155" formatCode="0.0%">
                  <c:v>1.2E-2</c:v>
                </c:pt>
                <c:pt idx="156" formatCode="0.0%">
                  <c:v>1.2E-2</c:v>
                </c:pt>
                <c:pt idx="157" formatCode="0.0%">
                  <c:v>1.0999999999999999E-2</c:v>
                </c:pt>
                <c:pt idx="158" formatCode="0.0%">
                  <c:v>0.01</c:v>
                </c:pt>
                <c:pt idx="159" formatCode="0.0%">
                  <c:v>0.01</c:v>
                </c:pt>
                <c:pt idx="160" formatCode="0.0%">
                  <c:v>0.01</c:v>
                </c:pt>
                <c:pt idx="161" formatCode="0.0%">
                  <c:v>0.01</c:v>
                </c:pt>
                <c:pt idx="162" formatCode="0.0%">
                  <c:v>1.0999999999999999E-2</c:v>
                </c:pt>
                <c:pt idx="163" formatCode="0.0%">
                  <c:v>1.0999999999999999E-2</c:v>
                </c:pt>
                <c:pt idx="164" formatCode="0.0%">
                  <c:v>1.2999999999999999E-2</c:v>
                </c:pt>
                <c:pt idx="165" formatCode="0.0%">
                  <c:v>1.2999999999999999E-2</c:v>
                </c:pt>
                <c:pt idx="166" formatCode="0.0%">
                  <c:v>1.0999999999999999E-2</c:v>
                </c:pt>
                <c:pt idx="167" formatCode="0.0%">
                  <c:v>1.0999999999999999E-2</c:v>
                </c:pt>
                <c:pt idx="168" formatCode="0.0%">
                  <c:v>0.01</c:v>
                </c:pt>
                <c:pt idx="169" formatCode="0.0%">
                  <c:v>0.01</c:v>
                </c:pt>
                <c:pt idx="170" formatCode="0.0%">
                  <c:v>0.01</c:v>
                </c:pt>
                <c:pt idx="171" formatCode="0.0%">
                  <c:v>8.9999999999999993E-3</c:v>
                </c:pt>
                <c:pt idx="172" formatCode="0.0%">
                  <c:v>8.9999999999999993E-3</c:v>
                </c:pt>
                <c:pt idx="173" formatCode="0.0%">
                  <c:v>0.01</c:v>
                </c:pt>
                <c:pt idx="174" formatCode="0.0%">
                  <c:v>0.01</c:v>
                </c:pt>
              </c:numCache>
            </c:numRef>
          </c:val>
          <c:smooth val="0"/>
          <c:extLst>
            <c:ext xmlns:c16="http://schemas.microsoft.com/office/drawing/2014/chart" uri="{C3380CC4-5D6E-409C-BE32-E72D297353CC}">
              <c16:uniqueId val="{00000002-94FB-4D31-B532-8B91B48D9579}"/>
            </c:ext>
          </c:extLst>
        </c:ser>
        <c:dLbls>
          <c:showLegendKey val="0"/>
          <c:showVal val="0"/>
          <c:showCatName val="0"/>
          <c:showSerName val="0"/>
          <c:showPercent val="0"/>
          <c:showBubbleSize val="0"/>
        </c:dLbls>
        <c:marker val="1"/>
        <c:smooth val="0"/>
        <c:axId val="837143184"/>
        <c:axId val="1"/>
      </c:lineChart>
      <c:dateAx>
        <c:axId val="837143184"/>
        <c:scaling>
          <c:orientation val="minMax"/>
        </c:scaling>
        <c:delete val="0"/>
        <c:axPos val="b"/>
        <c:numFmt formatCode="mmm\-yy" sourceLinked="0"/>
        <c:majorTickMark val="none"/>
        <c:minorTickMark val="none"/>
        <c:tickLblPos val="nextTo"/>
        <c:txPr>
          <a:bodyPr rot="-5400000" vert="horz"/>
          <a:lstStyle/>
          <a:p>
            <a:pPr>
              <a:defRPr sz="800" b="0" i="0" u="none" strike="noStrike" baseline="0">
                <a:solidFill>
                  <a:srgbClr val="000000"/>
                </a:solidFill>
                <a:latin typeface="Arial"/>
                <a:ea typeface="Arial"/>
                <a:cs typeface="Arial"/>
              </a:defRPr>
            </a:pPr>
            <a:endParaRPr lang="en-US"/>
          </a:p>
        </c:txPr>
        <c:crossAx val="1"/>
        <c:crosses val="autoZero"/>
        <c:auto val="1"/>
        <c:lblOffset val="100"/>
        <c:baseTimeUnit val="months"/>
      </c:dateAx>
      <c:valAx>
        <c:axId val="1"/>
        <c:scaling>
          <c:orientation val="minMax"/>
        </c:scaling>
        <c:delete val="0"/>
        <c:axPos val="l"/>
        <c:majorGridlines/>
        <c:numFmt formatCode="0.0%" sourceLinked="0"/>
        <c:majorTickMark val="none"/>
        <c:minorTickMark val="none"/>
        <c:tickLblPos val="nextTo"/>
        <c:spPr>
          <a:ln w="9525">
            <a:noFill/>
          </a:ln>
        </c:spPr>
        <c:txPr>
          <a:bodyPr rot="0" vert="horz"/>
          <a:lstStyle/>
          <a:p>
            <a:pPr>
              <a:defRPr sz="1200" b="0" i="0" u="none" strike="noStrike" baseline="0">
                <a:solidFill>
                  <a:srgbClr val="000000"/>
                </a:solidFill>
                <a:latin typeface="Arial"/>
                <a:ea typeface="Arial"/>
                <a:cs typeface="Arial"/>
              </a:defRPr>
            </a:pPr>
            <a:endParaRPr lang="en-US"/>
          </a:p>
        </c:txPr>
        <c:crossAx val="837143184"/>
        <c:crosses val="autoZero"/>
        <c:crossBetween val="between"/>
      </c:valAx>
      <c:spPr>
        <a:gradFill>
          <a:gsLst>
            <a:gs pos="0">
              <a:schemeClr val="accent1">
                <a:tint val="66000"/>
                <a:satMod val="160000"/>
              </a:schemeClr>
            </a:gs>
            <a:gs pos="50000">
              <a:schemeClr val="accent1">
                <a:tint val="44500"/>
                <a:satMod val="160000"/>
              </a:schemeClr>
            </a:gs>
            <a:gs pos="100000">
              <a:schemeClr val="bg1"/>
            </a:gs>
          </a:gsLst>
          <a:lin ang="5400000" scaled="0"/>
        </a:gradFill>
      </c:spPr>
    </c:plotArea>
    <c:legend>
      <c:legendPos val="r"/>
      <c:layout>
        <c:manualLayout>
          <c:xMode val="edge"/>
          <c:yMode val="edge"/>
          <c:x val="0.30484797146189024"/>
          <c:y val="0.95345915539802595"/>
          <c:w val="0.6039185136203199"/>
          <c:h val="3.2704354993364548E-2"/>
        </c:manualLayout>
      </c:layout>
      <c:overlay val="0"/>
      <c:txPr>
        <a:bodyPr/>
        <a:lstStyle/>
        <a:p>
          <a:pPr>
            <a:defRPr sz="85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Arial"/>
                <a:ea typeface="Arial"/>
                <a:cs typeface="Arial"/>
              </a:defRPr>
            </a:pPr>
            <a:r>
              <a:rPr lang="en-GB"/>
              <a:t>Crude mortality rate at HDFT</a:t>
            </a:r>
          </a:p>
        </c:rich>
      </c:tx>
      <c:layout>
        <c:manualLayout>
          <c:xMode val="edge"/>
          <c:yMode val="edge"/>
          <c:x val="0.21965974062681562"/>
          <c:y val="0"/>
        </c:manualLayout>
      </c:layout>
      <c:overlay val="1"/>
    </c:title>
    <c:autoTitleDeleted val="0"/>
    <c:plotArea>
      <c:layout>
        <c:manualLayout>
          <c:layoutTarget val="inner"/>
          <c:xMode val="edge"/>
          <c:yMode val="edge"/>
          <c:x val="4.8559915798710614E-2"/>
          <c:y val="8.5870238065275273E-2"/>
          <c:w val="0.93643176516632542"/>
          <c:h val="0.7514146927241826"/>
        </c:manualLayout>
      </c:layout>
      <c:lineChart>
        <c:grouping val="standard"/>
        <c:varyColors val="0"/>
        <c:ser>
          <c:idx val="48"/>
          <c:order val="0"/>
          <c:spPr>
            <a:ln>
              <a:solidFill>
                <a:schemeClr val="tx2">
                  <a:lumMod val="60000"/>
                  <a:lumOff val="40000"/>
                </a:schemeClr>
              </a:solidFill>
            </a:ln>
          </c:spPr>
          <c:marker>
            <c:spPr>
              <a:ln>
                <a:solidFill>
                  <a:schemeClr val="tx2">
                    <a:lumMod val="60000"/>
                    <a:lumOff val="40000"/>
                  </a:schemeClr>
                </a:solidFill>
              </a:ln>
            </c:spPr>
          </c:marker>
          <c:cat>
            <c:numRef>
              <c:f>'[Crude Mortality Rate HDFT.xlsx]Data'!$A$205:$A$228</c:f>
              <c:numCache>
                <c:formatCode>mmm\-yy</c:formatCode>
                <c:ptCount val="24"/>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pt idx="21">
                  <c:v>45566</c:v>
                </c:pt>
                <c:pt idx="22">
                  <c:v>45597</c:v>
                </c:pt>
                <c:pt idx="23">
                  <c:v>45627</c:v>
                </c:pt>
              </c:numCache>
            </c:numRef>
          </c:cat>
          <c:val>
            <c:numRef>
              <c:f>'[Crude Mortality Rate HDFT.xlsx]Data'!$B$205:$B$228</c:f>
            </c:numRef>
          </c:val>
          <c:smooth val="0"/>
          <c:extLst>
            <c:ext xmlns:c16="http://schemas.microsoft.com/office/drawing/2014/chart" uri="{C3380CC4-5D6E-409C-BE32-E72D297353CC}">
              <c16:uniqueId val="{00000000-3B1D-478C-888B-5B34CC981A5B}"/>
            </c:ext>
          </c:extLst>
        </c:ser>
        <c:ser>
          <c:idx val="0"/>
          <c:order val="1"/>
          <c:cat>
            <c:numRef>
              <c:f>'[Crude Mortality Rate HDFT.xlsx]Data'!$A$205:$A$228</c:f>
              <c:numCache>
                <c:formatCode>mmm\-yy</c:formatCode>
                <c:ptCount val="24"/>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pt idx="21">
                  <c:v>45566</c:v>
                </c:pt>
                <c:pt idx="22">
                  <c:v>45597</c:v>
                </c:pt>
                <c:pt idx="23">
                  <c:v>45627</c:v>
                </c:pt>
              </c:numCache>
            </c:numRef>
          </c:cat>
          <c:val>
            <c:numRef>
              <c:f>'[Crude Mortality Rate HDFT.xlsx]Data'!$C$205:$C$228</c:f>
            </c:numRef>
          </c:val>
          <c:smooth val="0"/>
          <c:extLst>
            <c:ext xmlns:c16="http://schemas.microsoft.com/office/drawing/2014/chart" uri="{C3380CC4-5D6E-409C-BE32-E72D297353CC}">
              <c16:uniqueId val="{00000001-3B1D-478C-888B-5B34CC981A5B}"/>
            </c:ext>
          </c:extLst>
        </c:ser>
        <c:ser>
          <c:idx val="1"/>
          <c:order val="2"/>
          <c:cat>
            <c:numRef>
              <c:f>'[Crude Mortality Rate HDFT.xlsx]Data'!$A$205:$A$228</c:f>
              <c:numCache>
                <c:formatCode>mmm\-yy</c:formatCode>
                <c:ptCount val="24"/>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pt idx="21">
                  <c:v>45566</c:v>
                </c:pt>
                <c:pt idx="22">
                  <c:v>45597</c:v>
                </c:pt>
                <c:pt idx="23">
                  <c:v>45627</c:v>
                </c:pt>
              </c:numCache>
            </c:numRef>
          </c:cat>
          <c:val>
            <c:numRef>
              <c:f>'[Crude Mortality Rate HDFT.xlsx]Data'!$D$205:$D$228</c:f>
            </c:numRef>
          </c:val>
          <c:smooth val="0"/>
          <c:extLst>
            <c:ext xmlns:c16="http://schemas.microsoft.com/office/drawing/2014/chart" uri="{C3380CC4-5D6E-409C-BE32-E72D297353CC}">
              <c16:uniqueId val="{00000002-3B1D-478C-888B-5B34CC981A5B}"/>
            </c:ext>
          </c:extLst>
        </c:ser>
        <c:ser>
          <c:idx val="2"/>
          <c:order val="3"/>
          <c:cat>
            <c:numRef>
              <c:f>'[Crude Mortality Rate HDFT.xlsx]Data'!$A$205:$A$228</c:f>
              <c:numCache>
                <c:formatCode>mmm\-yy</c:formatCode>
                <c:ptCount val="24"/>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pt idx="21">
                  <c:v>45566</c:v>
                </c:pt>
                <c:pt idx="22">
                  <c:v>45597</c:v>
                </c:pt>
                <c:pt idx="23">
                  <c:v>45627</c:v>
                </c:pt>
              </c:numCache>
            </c:numRef>
          </c:cat>
          <c:val>
            <c:numRef>
              <c:f>'[Crude Mortality Rate HDFT.xlsx]Data'!$E$205:$E$228</c:f>
            </c:numRef>
          </c:val>
          <c:smooth val="0"/>
          <c:extLst>
            <c:ext xmlns:c16="http://schemas.microsoft.com/office/drawing/2014/chart" uri="{C3380CC4-5D6E-409C-BE32-E72D297353CC}">
              <c16:uniqueId val="{00000003-3B1D-478C-888B-5B34CC981A5B}"/>
            </c:ext>
          </c:extLst>
        </c:ser>
        <c:ser>
          <c:idx val="3"/>
          <c:order val="4"/>
          <c:cat>
            <c:numRef>
              <c:f>'[Crude Mortality Rate HDFT.xlsx]Data'!$A$205:$A$228</c:f>
              <c:numCache>
                <c:formatCode>mmm\-yy</c:formatCode>
                <c:ptCount val="24"/>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pt idx="21">
                  <c:v>45566</c:v>
                </c:pt>
                <c:pt idx="22">
                  <c:v>45597</c:v>
                </c:pt>
                <c:pt idx="23">
                  <c:v>45627</c:v>
                </c:pt>
              </c:numCache>
            </c:numRef>
          </c:cat>
          <c:val>
            <c:numRef>
              <c:f>'[Crude Mortality Rate HDFT.xlsx]Data'!$F$205:$F$228</c:f>
            </c:numRef>
          </c:val>
          <c:smooth val="0"/>
          <c:extLst>
            <c:ext xmlns:c16="http://schemas.microsoft.com/office/drawing/2014/chart" uri="{C3380CC4-5D6E-409C-BE32-E72D297353CC}">
              <c16:uniqueId val="{00000004-3B1D-478C-888B-5B34CC981A5B}"/>
            </c:ext>
          </c:extLst>
        </c:ser>
        <c:ser>
          <c:idx val="4"/>
          <c:order val="5"/>
          <c:tx>
            <c:v>% mortality rate</c:v>
          </c:tx>
          <c:spPr>
            <a:ln>
              <a:solidFill>
                <a:schemeClr val="accent5"/>
              </a:solidFill>
            </a:ln>
          </c:spPr>
          <c:cat>
            <c:numRef>
              <c:f>'[Crude Mortality Rate HDFT.xlsx]Data'!$A$205:$A$228</c:f>
              <c:numCache>
                <c:formatCode>mmm\-yy</c:formatCode>
                <c:ptCount val="24"/>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pt idx="21">
                  <c:v>45566</c:v>
                </c:pt>
                <c:pt idx="22">
                  <c:v>45597</c:v>
                </c:pt>
                <c:pt idx="23">
                  <c:v>45627</c:v>
                </c:pt>
              </c:numCache>
            </c:numRef>
          </c:cat>
          <c:val>
            <c:numRef>
              <c:f>'[Crude Mortality Rate HDFT.xlsx]Data'!$G$205:$G$228</c:f>
              <c:numCache>
                <c:formatCode>0.00%</c:formatCode>
                <c:ptCount val="24"/>
                <c:pt idx="0">
                  <c:v>2.0265991133628879E-2</c:v>
                </c:pt>
                <c:pt idx="1">
                  <c:v>1.4945054945054945E-2</c:v>
                </c:pt>
                <c:pt idx="2">
                  <c:v>1.5285126396237508E-2</c:v>
                </c:pt>
                <c:pt idx="3">
                  <c:v>1.0741859684457872E-2</c:v>
                </c:pt>
                <c:pt idx="4">
                  <c:v>7.7473182359952325E-3</c:v>
                </c:pt>
                <c:pt idx="5">
                  <c:v>8.1501964779508076E-3</c:v>
                </c:pt>
                <c:pt idx="6">
                  <c:v>7.6063334368208632E-3</c:v>
                </c:pt>
                <c:pt idx="7">
                  <c:v>7.7918030232195729E-3</c:v>
                </c:pt>
                <c:pt idx="8">
                  <c:v>1.0275502606105734E-2</c:v>
                </c:pt>
                <c:pt idx="9">
                  <c:v>8.49443468072642E-3</c:v>
                </c:pt>
                <c:pt idx="10">
                  <c:v>9.6547688706846106E-3</c:v>
                </c:pt>
                <c:pt idx="11">
                  <c:v>1.0631337912986588E-2</c:v>
                </c:pt>
                <c:pt idx="12">
                  <c:v>1.0866372980910427E-2</c:v>
                </c:pt>
                <c:pt idx="13">
                  <c:v>8.7626529687263935E-3</c:v>
                </c:pt>
                <c:pt idx="14">
                  <c:v>7.6726342710997444E-3</c:v>
                </c:pt>
                <c:pt idx="15">
                  <c:v>1.0064935064935065E-2</c:v>
                </c:pt>
                <c:pt idx="16">
                  <c:v>8.0451900034234844E-3</c:v>
                </c:pt>
                <c:pt idx="17">
                  <c:v>1.1069451883592216E-2</c:v>
                </c:pt>
                <c:pt idx="18">
                  <c:v>9.9793530626290441E-3</c:v>
                </c:pt>
                <c:pt idx="19">
                  <c:v>1.0382513661202186E-2</c:v>
                </c:pt>
                <c:pt idx="20">
                  <c:v>1.084206722081677E-2</c:v>
                </c:pt>
                <c:pt idx="21">
                  <c:v>1.0423560555923229E-2</c:v>
                </c:pt>
                <c:pt idx="22">
                  <c:v>1.0576414595452142E-2</c:v>
                </c:pt>
                <c:pt idx="23">
                  <c:v>1.4467923091566724E-2</c:v>
                </c:pt>
              </c:numCache>
            </c:numRef>
          </c:val>
          <c:smooth val="0"/>
          <c:extLst>
            <c:ext xmlns:c16="http://schemas.microsoft.com/office/drawing/2014/chart" uri="{C3380CC4-5D6E-409C-BE32-E72D297353CC}">
              <c16:uniqueId val="{00000005-3B1D-478C-888B-5B34CC981A5B}"/>
            </c:ext>
          </c:extLst>
        </c:ser>
        <c:ser>
          <c:idx val="5"/>
          <c:order val="6"/>
          <c:tx>
            <c:v>rolling 12 mths</c:v>
          </c:tx>
          <c:spPr>
            <a:ln>
              <a:solidFill>
                <a:schemeClr val="accent6"/>
              </a:solidFill>
            </a:ln>
          </c:spPr>
          <c:cat>
            <c:numRef>
              <c:f>'[Crude Mortality Rate HDFT.xlsx]Data'!$A$205:$A$228</c:f>
              <c:numCache>
                <c:formatCode>mmm\-yy</c:formatCode>
                <c:ptCount val="24"/>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pt idx="21">
                  <c:v>45566</c:v>
                </c:pt>
                <c:pt idx="22">
                  <c:v>45597</c:v>
                </c:pt>
                <c:pt idx="23">
                  <c:v>45627</c:v>
                </c:pt>
              </c:numCache>
            </c:numRef>
          </c:cat>
          <c:val>
            <c:numRef>
              <c:f>'[Crude Mortality Rate HDFT.xlsx]Data'!$H$205:$H$228</c:f>
              <c:numCache>
                <c:formatCode>0.00%</c:formatCode>
                <c:ptCount val="24"/>
                <c:pt idx="0">
                  <c:v>1.5269289710308156E-2</c:v>
                </c:pt>
                <c:pt idx="1">
                  <c:v>1.5104746945261274E-2</c:v>
                </c:pt>
                <c:pt idx="2">
                  <c:v>1.5182021004516516E-2</c:v>
                </c:pt>
                <c:pt idx="3">
                  <c:v>1.4450917923714644E-2</c:v>
                </c:pt>
                <c:pt idx="4">
                  <c:v>1.3784907902554962E-2</c:v>
                </c:pt>
                <c:pt idx="5">
                  <c:v>1.3314018782857795E-2</c:v>
                </c:pt>
                <c:pt idx="6">
                  <c:v>1.2836667191683729E-2</c:v>
                </c:pt>
                <c:pt idx="7">
                  <c:v>1.2311964116803466E-2</c:v>
                </c:pt>
                <c:pt idx="8">
                  <c:v>1.1929928302165719E-2</c:v>
                </c:pt>
                <c:pt idx="9">
                  <c:v>1.1396827214936144E-2</c:v>
                </c:pt>
                <c:pt idx="10">
                  <c:v>1.113141486141528E-2</c:v>
                </c:pt>
                <c:pt idx="11">
                  <c:v>1.0520857497646112E-2</c:v>
                </c:pt>
                <c:pt idx="12">
                  <c:v>9.9394872339296138E-3</c:v>
                </c:pt>
                <c:pt idx="13">
                  <c:v>9.5447206974491449E-3</c:v>
                </c:pt>
                <c:pt idx="14">
                  <c:v>9.0161962288999482E-3</c:v>
                </c:pt>
                <c:pt idx="15">
                  <c:v>8.9679301764535001E-3</c:v>
                </c:pt>
                <c:pt idx="16">
                  <c:v>9.0037164276318311E-3</c:v>
                </c:pt>
                <c:pt idx="17">
                  <c:v>9.2300502395139625E-3</c:v>
                </c:pt>
                <c:pt idx="18">
                  <c:v>9.4239604193662382E-3</c:v>
                </c:pt>
                <c:pt idx="19">
                  <c:v>9.6324562100855923E-3</c:v>
                </c:pt>
                <c:pt idx="20">
                  <c:v>9.6644367571642013E-3</c:v>
                </c:pt>
                <c:pt idx="21">
                  <c:v>9.8355303432232782E-3</c:v>
                </c:pt>
                <c:pt idx="22">
                  <c:v>9.9107068808227134E-3</c:v>
                </c:pt>
                <c:pt idx="23">
                  <c:v>1.0183954675806113E-2</c:v>
                </c:pt>
              </c:numCache>
            </c:numRef>
          </c:val>
          <c:smooth val="0"/>
          <c:extLst>
            <c:ext xmlns:c16="http://schemas.microsoft.com/office/drawing/2014/chart" uri="{C3380CC4-5D6E-409C-BE32-E72D297353CC}">
              <c16:uniqueId val="{00000006-3B1D-478C-888B-5B34CC981A5B}"/>
            </c:ext>
          </c:extLst>
        </c:ser>
        <c:ser>
          <c:idx val="6"/>
          <c:order val="7"/>
          <c:tx>
            <c:v>national</c:v>
          </c:tx>
          <c:cat>
            <c:numRef>
              <c:f>'[Crude Mortality Rate HDFT.xlsx]Data'!$A$205:$A$228</c:f>
              <c:numCache>
                <c:formatCode>mmm\-yy</c:formatCode>
                <c:ptCount val="24"/>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pt idx="16">
                  <c:v>45413</c:v>
                </c:pt>
                <c:pt idx="17">
                  <c:v>45444</c:v>
                </c:pt>
                <c:pt idx="18">
                  <c:v>45474</c:v>
                </c:pt>
                <c:pt idx="19">
                  <c:v>45505</c:v>
                </c:pt>
                <c:pt idx="20">
                  <c:v>45536</c:v>
                </c:pt>
                <c:pt idx="21">
                  <c:v>45566</c:v>
                </c:pt>
                <c:pt idx="22">
                  <c:v>45597</c:v>
                </c:pt>
                <c:pt idx="23">
                  <c:v>45627</c:v>
                </c:pt>
              </c:numCache>
            </c:numRef>
          </c:cat>
          <c:val>
            <c:numRef>
              <c:f>'[Crude Mortality Rate HDFT.xlsx]Data'!$I$205:$I$228</c:f>
              <c:numCache>
                <c:formatCode>0.0%</c:formatCode>
                <c:ptCount val="24"/>
                <c:pt idx="0">
                  <c:v>1.4999999999999999E-2</c:v>
                </c:pt>
                <c:pt idx="1">
                  <c:v>1.2E-2</c:v>
                </c:pt>
                <c:pt idx="2">
                  <c:v>1.2E-2</c:v>
                </c:pt>
                <c:pt idx="3">
                  <c:v>1.2E-2</c:v>
                </c:pt>
                <c:pt idx="4">
                  <c:v>1.0999999999999999E-2</c:v>
                </c:pt>
                <c:pt idx="5">
                  <c:v>0.01</c:v>
                </c:pt>
                <c:pt idx="6">
                  <c:v>0.01</c:v>
                </c:pt>
                <c:pt idx="7">
                  <c:v>0.01</c:v>
                </c:pt>
                <c:pt idx="8">
                  <c:v>0.01</c:v>
                </c:pt>
                <c:pt idx="9">
                  <c:v>1.0999999999999999E-2</c:v>
                </c:pt>
                <c:pt idx="10">
                  <c:v>1.0999999999999999E-2</c:v>
                </c:pt>
                <c:pt idx="11">
                  <c:v>1.2999999999999999E-2</c:v>
                </c:pt>
                <c:pt idx="12">
                  <c:v>1.2999999999999999E-2</c:v>
                </c:pt>
                <c:pt idx="13">
                  <c:v>1.0999999999999999E-2</c:v>
                </c:pt>
                <c:pt idx="14">
                  <c:v>1.0999999999999999E-2</c:v>
                </c:pt>
                <c:pt idx="15">
                  <c:v>0.01</c:v>
                </c:pt>
                <c:pt idx="16">
                  <c:v>0.01</c:v>
                </c:pt>
                <c:pt idx="17">
                  <c:v>0.01</c:v>
                </c:pt>
                <c:pt idx="18">
                  <c:v>8.9999999999999993E-3</c:v>
                </c:pt>
                <c:pt idx="19">
                  <c:v>8.9999999999999993E-3</c:v>
                </c:pt>
                <c:pt idx="20">
                  <c:v>0.01</c:v>
                </c:pt>
                <c:pt idx="21">
                  <c:v>0.01</c:v>
                </c:pt>
              </c:numCache>
            </c:numRef>
          </c:val>
          <c:smooth val="0"/>
          <c:extLst>
            <c:ext xmlns:c16="http://schemas.microsoft.com/office/drawing/2014/chart" uri="{C3380CC4-5D6E-409C-BE32-E72D297353CC}">
              <c16:uniqueId val="{00000007-3B1D-478C-888B-5B34CC981A5B}"/>
            </c:ext>
          </c:extLst>
        </c:ser>
        <c:dLbls>
          <c:showLegendKey val="0"/>
          <c:showVal val="0"/>
          <c:showCatName val="0"/>
          <c:showSerName val="0"/>
          <c:showPercent val="0"/>
          <c:showBubbleSize val="0"/>
        </c:dLbls>
        <c:marker val="1"/>
        <c:smooth val="0"/>
        <c:axId val="837143184"/>
        <c:axId val="1"/>
      </c:lineChart>
      <c:dateAx>
        <c:axId val="837143184"/>
        <c:scaling>
          <c:orientation val="minMax"/>
        </c:scaling>
        <c:delete val="0"/>
        <c:axPos val="b"/>
        <c:numFmt formatCode="mmm\-yy" sourceLinked="0"/>
        <c:majorTickMark val="none"/>
        <c:minorTickMark val="none"/>
        <c:tickLblPos val="nextTo"/>
        <c:txPr>
          <a:bodyPr rot="-5400000" vert="horz"/>
          <a:lstStyle/>
          <a:p>
            <a:pPr>
              <a:defRPr sz="800" b="0" i="0" u="none" strike="noStrike" baseline="0">
                <a:solidFill>
                  <a:srgbClr val="000000"/>
                </a:solidFill>
                <a:latin typeface="Arial"/>
                <a:ea typeface="Arial"/>
                <a:cs typeface="Arial"/>
              </a:defRPr>
            </a:pPr>
            <a:endParaRPr lang="en-US"/>
          </a:p>
        </c:txPr>
        <c:crossAx val="1"/>
        <c:crosses val="autoZero"/>
        <c:auto val="1"/>
        <c:lblOffset val="100"/>
        <c:baseTimeUnit val="months"/>
      </c:dateAx>
      <c:valAx>
        <c:axId val="1"/>
        <c:scaling>
          <c:orientation val="minMax"/>
        </c:scaling>
        <c:delete val="0"/>
        <c:axPos val="l"/>
        <c:majorGridlines/>
        <c:numFmt formatCode="0.0%" sourceLinked="0"/>
        <c:majorTickMark val="none"/>
        <c:minorTickMark val="none"/>
        <c:tickLblPos val="nextTo"/>
        <c:spPr>
          <a:ln w="9525">
            <a:noFill/>
          </a:ln>
        </c:spPr>
        <c:txPr>
          <a:bodyPr rot="0" vert="horz"/>
          <a:lstStyle/>
          <a:p>
            <a:pPr>
              <a:defRPr sz="1200" b="0" i="0" u="none" strike="noStrike" baseline="0">
                <a:solidFill>
                  <a:srgbClr val="000000"/>
                </a:solidFill>
                <a:latin typeface="Arial"/>
                <a:ea typeface="Arial"/>
                <a:cs typeface="Arial"/>
              </a:defRPr>
            </a:pPr>
            <a:endParaRPr lang="en-US"/>
          </a:p>
        </c:txPr>
        <c:crossAx val="837143184"/>
        <c:crosses val="autoZero"/>
        <c:crossBetween val="between"/>
      </c:valAx>
      <c:spPr>
        <a:gradFill>
          <a:gsLst>
            <a:gs pos="0">
              <a:schemeClr val="accent1">
                <a:tint val="66000"/>
                <a:satMod val="160000"/>
              </a:schemeClr>
            </a:gs>
            <a:gs pos="50000">
              <a:schemeClr val="accent1">
                <a:tint val="44500"/>
                <a:satMod val="160000"/>
              </a:schemeClr>
            </a:gs>
            <a:gs pos="100000">
              <a:schemeClr val="bg1"/>
            </a:gs>
          </a:gsLst>
          <a:lin ang="5400000" scaled="0"/>
        </a:gradFill>
      </c:spPr>
    </c:plotArea>
    <c:legend>
      <c:legendPos val="r"/>
      <c:layout>
        <c:manualLayout>
          <c:xMode val="edge"/>
          <c:yMode val="edge"/>
          <c:x val="0.30484797146189024"/>
          <c:y val="0.95345915539802595"/>
          <c:w val="0.62692379495106876"/>
          <c:h val="4.654084460197408E-2"/>
        </c:manualLayout>
      </c:layout>
      <c:overlay val="0"/>
      <c:txPr>
        <a:bodyPr/>
        <a:lstStyle/>
        <a:p>
          <a:pPr>
            <a:defRPr sz="85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Observed</a:t>
            </a:r>
            <a:r>
              <a:rPr lang="en-GB" baseline="0"/>
              <a:t> Number of Deaths</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'APC_SHMI_LIVE - Table 2a. Expor'!$A$3:$A$14</c:f>
              <c:numCache>
                <c:formatCode>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'APC_SHMI_LIVE - Table 2a. Expor'!$B$3:$B$14</c:f>
              <c:numCache>
                <c:formatCode>General</c:formatCode>
                <c:ptCount val="12"/>
                <c:pt idx="0">
                  <c:v>87</c:v>
                </c:pt>
                <c:pt idx="1">
                  <c:v>88</c:v>
                </c:pt>
                <c:pt idx="2">
                  <c:v>89</c:v>
                </c:pt>
                <c:pt idx="3">
                  <c:v>107</c:v>
                </c:pt>
                <c:pt idx="4">
                  <c:v>88</c:v>
                </c:pt>
                <c:pt idx="5">
                  <c:v>81</c:v>
                </c:pt>
                <c:pt idx="6">
                  <c:v>82</c:v>
                </c:pt>
                <c:pt idx="7">
                  <c:v>65</c:v>
                </c:pt>
                <c:pt idx="8">
                  <c:v>75</c:v>
                </c:pt>
                <c:pt idx="9">
                  <c:v>87</c:v>
                </c:pt>
                <c:pt idx="10">
                  <c:v>78</c:v>
                </c:pt>
                <c:pt idx="11">
                  <c:v>85</c:v>
                </c:pt>
              </c:numCache>
            </c:numRef>
          </c:val>
          <c:smooth val="0"/>
          <c:extLst>
            <c:ext xmlns:c16="http://schemas.microsoft.com/office/drawing/2014/chart" uri="{C3380CC4-5D6E-409C-BE32-E72D297353CC}">
              <c16:uniqueId val="{00000000-A71D-448E-AF90-59D9EF301EDF}"/>
            </c:ext>
          </c:extLst>
        </c:ser>
        <c:dLbls>
          <c:showLegendKey val="0"/>
          <c:showVal val="0"/>
          <c:showCatName val="0"/>
          <c:showSerName val="0"/>
          <c:showPercent val="0"/>
          <c:showBubbleSize val="0"/>
        </c:dLbls>
        <c:marker val="1"/>
        <c:smooth val="0"/>
        <c:axId val="1343783391"/>
        <c:axId val="1343791295"/>
      </c:lineChart>
      <c:dateAx>
        <c:axId val="134378339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3791295"/>
        <c:crosses val="autoZero"/>
        <c:auto val="1"/>
        <c:lblOffset val="100"/>
        <c:baseTimeUnit val="months"/>
      </c:dateAx>
      <c:valAx>
        <c:axId val="1343791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37833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Expected</a:t>
            </a:r>
            <a:r>
              <a:rPr lang="en-GB" baseline="0"/>
              <a:t> Number of Deaths</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'APC_SHMI_LIVE - Table 2a. Expor'!$A$3:$A$14</c:f>
              <c:numCache>
                <c:formatCode>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'APC_SHMI_LIVE - Table 2a. Expor'!$B$3:$B$14</c:f>
              <c:numCache>
                <c:formatCode>General</c:formatCode>
                <c:ptCount val="12"/>
                <c:pt idx="0">
                  <c:v>85.16</c:v>
                </c:pt>
                <c:pt idx="1">
                  <c:v>84.22</c:v>
                </c:pt>
                <c:pt idx="2">
                  <c:v>93.03</c:v>
                </c:pt>
                <c:pt idx="3">
                  <c:v>87.9</c:v>
                </c:pt>
                <c:pt idx="4">
                  <c:v>67.84</c:v>
                </c:pt>
                <c:pt idx="5">
                  <c:v>62.82</c:v>
                </c:pt>
                <c:pt idx="6">
                  <c:v>83.76</c:v>
                </c:pt>
                <c:pt idx="7">
                  <c:v>74.349999999999994</c:v>
                </c:pt>
                <c:pt idx="8">
                  <c:v>49.36</c:v>
                </c:pt>
                <c:pt idx="9">
                  <c:v>43.42</c:v>
                </c:pt>
                <c:pt idx="10">
                  <c:v>33.869999999999997</c:v>
                </c:pt>
                <c:pt idx="11">
                  <c:v>38.53</c:v>
                </c:pt>
              </c:numCache>
            </c:numRef>
          </c:val>
          <c:smooth val="0"/>
          <c:extLst>
            <c:ext xmlns:c16="http://schemas.microsoft.com/office/drawing/2014/chart" uri="{C3380CC4-5D6E-409C-BE32-E72D297353CC}">
              <c16:uniqueId val="{00000000-4C08-4D7D-8E7F-FE145A4E4544}"/>
            </c:ext>
          </c:extLst>
        </c:ser>
        <c:dLbls>
          <c:showLegendKey val="0"/>
          <c:showVal val="0"/>
          <c:showCatName val="0"/>
          <c:showSerName val="0"/>
          <c:showPercent val="0"/>
          <c:showBubbleSize val="0"/>
        </c:dLbls>
        <c:marker val="1"/>
        <c:smooth val="0"/>
        <c:axId val="1355047807"/>
        <c:axId val="1355035743"/>
      </c:lineChart>
      <c:dateAx>
        <c:axId val="135504780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035743"/>
        <c:crosses val="autoZero"/>
        <c:auto val="1"/>
        <c:lblOffset val="100"/>
        <c:baseTimeUnit val="months"/>
      </c:dateAx>
      <c:valAx>
        <c:axId val="1355035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0478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 of provider spell with Invalid Diagnostic Code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'APC_SHMI_LIVE - Table 2a. Expor'!$B$2</c:f>
              <c:strCache>
                <c:ptCount val="1"/>
                <c:pt idx="0">
                  <c:v>Number of provider spells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'APC_SHMI_LIVE - Table 2a. Expor'!$A$3:$A$28</c:f>
              <c:strCache>
                <c:ptCount val="26"/>
                <c:pt idx="0">
                  <c:v>Sep-21</c:v>
                </c:pt>
                <c:pt idx="1">
                  <c:v>Oct-21</c:v>
                </c:pt>
                <c:pt idx="2">
                  <c:v>Dec-21</c:v>
                </c:pt>
                <c:pt idx="3">
                  <c:v>Jan-22</c:v>
                </c:pt>
                <c:pt idx="4">
                  <c:v>Mar-22</c:v>
                </c:pt>
                <c:pt idx="5">
                  <c:v>May-22</c:v>
                </c:pt>
                <c:pt idx="6">
                  <c:v>Jan-23</c:v>
                </c:pt>
                <c:pt idx="7">
                  <c:v>Feb-23</c:v>
                </c:pt>
                <c:pt idx="8">
                  <c:v>Mar-23</c:v>
                </c:pt>
                <c:pt idx="9">
                  <c:v>Apr-23</c:v>
                </c:pt>
                <c:pt idx="10">
                  <c:v>May-23</c:v>
                </c:pt>
                <c:pt idx="11">
                  <c:v>Jun-23</c:v>
                </c:pt>
                <c:pt idx="12">
                  <c:v>Jul-23</c:v>
                </c:pt>
                <c:pt idx="13">
                  <c:v>Aug-23</c:v>
                </c:pt>
                <c:pt idx="14">
                  <c:v>Sep-23</c:v>
                </c:pt>
                <c:pt idx="15">
                  <c:v>Oct-23</c:v>
                </c:pt>
                <c:pt idx="16">
                  <c:v>Dec-23</c:v>
                </c:pt>
                <c:pt idx="17">
                  <c:v>Jan-24</c:v>
                </c:pt>
                <c:pt idx="18">
                  <c:v>Feb-24</c:v>
                </c:pt>
                <c:pt idx="19">
                  <c:v>Mar-24</c:v>
                </c:pt>
                <c:pt idx="20">
                  <c:v>Apr-24</c:v>
                </c:pt>
                <c:pt idx="21">
                  <c:v>Jun-24</c:v>
                </c:pt>
                <c:pt idx="22">
                  <c:v>Jul-24</c:v>
                </c:pt>
                <c:pt idx="23">
                  <c:v>Aug-24</c:v>
                </c:pt>
                <c:pt idx="24">
                  <c:v>Sep-24</c:v>
                </c:pt>
                <c:pt idx="25">
                  <c:v>Grand total</c:v>
                </c:pt>
              </c:strCache>
            </c:strRef>
          </c:cat>
          <c:val>
            <c:numRef>
              <c:f>'APC_SHMI_LIVE - Table 2a. Expor'!$B$3:$B$28</c:f>
              <c:numCache>
                <c:formatCode>General</c:formatCode>
                <c:ptCount val="26"/>
                <c:pt idx="0">
                  <c:v>1</c:v>
                </c:pt>
                <c:pt idx="1">
                  <c:v>1</c:v>
                </c:pt>
                <c:pt idx="2">
                  <c:v>2</c:v>
                </c:pt>
                <c:pt idx="3">
                  <c:v>1</c:v>
                </c:pt>
                <c:pt idx="4">
                  <c:v>2</c:v>
                </c:pt>
                <c:pt idx="5">
                  <c:v>1</c:v>
                </c:pt>
                <c:pt idx="6">
                  <c:v>1</c:v>
                </c:pt>
                <c:pt idx="7">
                  <c:v>1</c:v>
                </c:pt>
                <c:pt idx="8">
                  <c:v>1</c:v>
                </c:pt>
                <c:pt idx="9">
                  <c:v>11</c:v>
                </c:pt>
                <c:pt idx="10">
                  <c:v>1</c:v>
                </c:pt>
                <c:pt idx="11">
                  <c:v>125</c:v>
                </c:pt>
                <c:pt idx="12">
                  <c:v>129</c:v>
                </c:pt>
                <c:pt idx="13">
                  <c:v>1</c:v>
                </c:pt>
                <c:pt idx="14">
                  <c:v>3</c:v>
                </c:pt>
                <c:pt idx="15">
                  <c:v>1</c:v>
                </c:pt>
                <c:pt idx="16">
                  <c:v>3</c:v>
                </c:pt>
                <c:pt idx="17">
                  <c:v>123</c:v>
                </c:pt>
                <c:pt idx="18">
                  <c:v>964</c:v>
                </c:pt>
                <c:pt idx="19">
                  <c:v>1348</c:v>
                </c:pt>
                <c:pt idx="20">
                  <c:v>9</c:v>
                </c:pt>
                <c:pt idx="21">
                  <c:v>628</c:v>
                </c:pt>
                <c:pt idx="22">
                  <c:v>1026</c:v>
                </c:pt>
                <c:pt idx="23">
                  <c:v>1232</c:v>
                </c:pt>
                <c:pt idx="24">
                  <c:v>1500</c:v>
                </c:pt>
                <c:pt idx="25">
                  <c:v>7115</c:v>
                </c:pt>
              </c:numCache>
            </c:numRef>
          </c:val>
          <c:smooth val="0"/>
          <c:extLst>
            <c:ext xmlns:c16="http://schemas.microsoft.com/office/drawing/2014/chart" uri="{C3380CC4-5D6E-409C-BE32-E72D297353CC}">
              <c16:uniqueId val="{00000000-10D9-45BE-B5AF-38946EB8B224}"/>
            </c:ext>
          </c:extLst>
        </c:ser>
        <c:dLbls>
          <c:showLegendKey val="0"/>
          <c:showVal val="0"/>
          <c:showCatName val="0"/>
          <c:showSerName val="0"/>
          <c:showPercent val="0"/>
          <c:showBubbleSize val="0"/>
        </c:dLbls>
        <c:marker val="1"/>
        <c:smooth val="0"/>
        <c:axId val="1553925680"/>
        <c:axId val="1564133984"/>
      </c:lineChart>
      <c:catAx>
        <c:axId val="155392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133984"/>
        <c:crosses val="autoZero"/>
        <c:auto val="1"/>
        <c:lblAlgn val="ctr"/>
        <c:lblOffset val="100"/>
        <c:noMultiLvlLbl val="0"/>
      </c:catAx>
      <c:valAx>
        <c:axId val="156413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925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9" ma:contentTypeDescription="Create a new document." ma:contentTypeScope="" ma:versionID="85460da38fac933e0b858140c4573c06">
  <xsd:schema xmlns:xsd="http://www.w3.org/2001/XMLSchema" xmlns:xs="http://www.w3.org/2001/XMLSchema" xmlns:p="http://schemas.microsoft.com/office/2006/metadata/properties" xmlns:ns1="http://schemas.microsoft.com/sharepoint/v3" xmlns:ns3="fc8c83e1-e4af-414a-b3b5-326eb82e57bc" xmlns:ns4="a8e734a9-52cf-49e3-bcde-90df6cef9c0a" targetNamespace="http://schemas.microsoft.com/office/2006/metadata/properties" ma:root="true" ma:fieldsID="6589f0a579f365bc865b53b844ea8bf3" ns1:_="" ns3:_="" ns4:_="">
    <xsd:import namespace="http://schemas.microsoft.com/sharepoint/v3"/>
    <xsd:import namespace="fc8c83e1-e4af-414a-b3b5-326eb82e57bc"/>
    <xsd:import namespace="a8e734a9-52cf-49e3-bcde-90df6cef9c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8c83e1-e4af-414a-b3b5-326eb82e57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0C04-F404-4AB8-B6F1-D822BCE7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8c83e1-e4af-414a-b3b5-326eb82e57bc"/>
    <ds:schemaRef ds:uri="a8e734a9-52cf-49e3-bcde-90df6cef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5B1E7-B5B8-4A93-A44B-F586D0DC99DC}">
  <ds:schemaRefs>
    <ds:schemaRef ds:uri="http://purl.org/dc/terms/"/>
    <ds:schemaRef ds:uri="http://schemas.microsoft.com/office/infopath/2007/PartnerControls"/>
    <ds:schemaRef ds:uri="http://schemas.openxmlformats.org/package/2006/metadata/core-properties"/>
    <ds:schemaRef ds:uri="http://www.w3.org/XML/1998/namespace"/>
    <ds:schemaRef ds:uri="a8e734a9-52cf-49e3-bcde-90df6cef9c0a"/>
    <ds:schemaRef ds:uri="http://schemas.microsoft.com/office/2006/documentManagement/types"/>
    <ds:schemaRef ds:uri="fc8c83e1-e4af-414a-b3b5-326eb82e57bc"/>
    <ds:schemaRef ds:uri="http://purl.org/dc/elements/1.1/"/>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4A00613-0ABD-4AED-9492-FD4B6EDED40E}">
  <ds:schemaRefs>
    <ds:schemaRef ds:uri="http://schemas.microsoft.com/sharepoint/v3/contenttype/forms"/>
  </ds:schemaRefs>
</ds:datastoreItem>
</file>

<file path=customXml/itemProps4.xml><?xml version="1.0" encoding="utf-8"?>
<ds:datastoreItem xmlns:ds="http://schemas.openxmlformats.org/officeDocument/2006/customXml" ds:itemID="{608FD908-8092-4A98-8051-AB50B0B336B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1837</Words>
  <Characters>10474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 DAVID (RCD) CONSULTANT ANAESTHETIST</dc:creator>
  <cp:lastModifiedBy>Rachel Hewson</cp:lastModifiedBy>
  <cp:revision>2</cp:revision>
  <cp:lastPrinted>2014-05-14T15:08:00Z</cp:lastPrinted>
  <dcterms:created xsi:type="dcterms:W3CDTF">2025-02-04T14:42:00Z</dcterms:created>
  <dcterms:modified xsi:type="dcterms:W3CDTF">2025-02-04T14:42:00Z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