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B2A20" w14:textId="4E291100" w:rsidR="00321078" w:rsidRPr="00321078" w:rsidRDefault="00ED43DB" w:rsidP="00E749CA">
      <w:pPr>
        <w:tabs>
          <w:tab w:val="left" w:pos="7635"/>
        </w:tabs>
        <w:spacing w:after="0" w:line="360" w:lineRule="auto"/>
        <w:jc w:val="center"/>
        <w:rPr>
          <w:rFonts w:ascii="Arial" w:hAnsi="Arial" w:cs="Arial"/>
          <w:b/>
          <w:bCs/>
          <w:sz w:val="24"/>
          <w:szCs w:val="28"/>
        </w:rPr>
      </w:pPr>
      <w:r>
        <w:rPr>
          <w:rFonts w:ascii="Arial" w:hAnsi="Arial" w:cs="Arial"/>
          <w:b/>
          <w:bCs/>
          <w:sz w:val="24"/>
          <w:szCs w:val="28"/>
        </w:rPr>
        <w:t>TRUST BOARD (in Public)</w:t>
      </w:r>
    </w:p>
    <w:p w14:paraId="49FBDE3F" w14:textId="65C1940A" w:rsidR="00321078" w:rsidRPr="00321078" w:rsidRDefault="00ED43DB" w:rsidP="00321078">
      <w:pPr>
        <w:tabs>
          <w:tab w:val="left" w:pos="7635"/>
        </w:tabs>
        <w:spacing w:after="240"/>
        <w:jc w:val="center"/>
        <w:rPr>
          <w:rStyle w:val="Doctitle"/>
          <w:rFonts w:cs="Arial"/>
          <w:sz w:val="24"/>
          <w:szCs w:val="28"/>
        </w:rPr>
      </w:pPr>
      <w:r>
        <w:rPr>
          <w:rStyle w:val="Doctitle"/>
          <w:rFonts w:cs="Arial"/>
          <w:sz w:val="24"/>
          <w:szCs w:val="28"/>
        </w:rPr>
        <w:t>28</w:t>
      </w:r>
      <w:r w:rsidRPr="00ED43DB">
        <w:rPr>
          <w:rStyle w:val="Doctitle"/>
          <w:rFonts w:cs="Arial"/>
          <w:sz w:val="24"/>
          <w:szCs w:val="28"/>
          <w:vertAlign w:val="superscript"/>
        </w:rPr>
        <w:t>th</w:t>
      </w:r>
      <w:r>
        <w:rPr>
          <w:rStyle w:val="Doctitle"/>
          <w:rFonts w:cs="Arial"/>
          <w:sz w:val="24"/>
          <w:szCs w:val="28"/>
        </w:rPr>
        <w:t xml:space="preserve"> </w:t>
      </w:r>
      <w:r w:rsidR="00226ADE">
        <w:rPr>
          <w:rStyle w:val="Doctitle"/>
          <w:rFonts w:cs="Arial"/>
          <w:sz w:val="24"/>
          <w:szCs w:val="28"/>
        </w:rPr>
        <w:t>May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47"/>
        <w:gridCol w:w="6900"/>
      </w:tblGrid>
      <w:tr w:rsidR="00321078" w:rsidRPr="00321078" w14:paraId="5A582FFC" w14:textId="77777777" w:rsidTr="00E749CA">
        <w:trPr>
          <w:jc w:val="center"/>
        </w:trPr>
        <w:tc>
          <w:tcPr>
            <w:tcW w:w="2547" w:type="dxa"/>
            <w:shd w:val="clear" w:color="auto" w:fill="auto"/>
          </w:tcPr>
          <w:p w14:paraId="5E8A01CF" w14:textId="77777777" w:rsidR="00321078" w:rsidRPr="00E749CA" w:rsidRDefault="00321078" w:rsidP="00E749CA">
            <w:pPr>
              <w:spacing w:after="0" w:line="240" w:lineRule="auto"/>
              <w:rPr>
                <w:rFonts w:ascii="Arial" w:hAnsi="Arial" w:cs="Arial"/>
                <w:b/>
              </w:rPr>
            </w:pPr>
            <w:r w:rsidRPr="00E749CA">
              <w:rPr>
                <w:rFonts w:ascii="Arial" w:hAnsi="Arial" w:cs="Arial"/>
                <w:b/>
              </w:rPr>
              <w:t>Title:</w:t>
            </w:r>
          </w:p>
        </w:tc>
        <w:tc>
          <w:tcPr>
            <w:tcW w:w="6900" w:type="dxa"/>
            <w:shd w:val="clear" w:color="auto" w:fill="auto"/>
          </w:tcPr>
          <w:p w14:paraId="6F7443C1" w14:textId="5FE6207C" w:rsidR="00321078" w:rsidRPr="00C96EC9" w:rsidRDefault="00C96EC9" w:rsidP="00C96EC9">
            <w:pPr>
              <w:tabs>
                <w:tab w:val="left" w:pos="7635"/>
              </w:tabs>
              <w:spacing w:after="0" w:line="240" w:lineRule="auto"/>
              <w:rPr>
                <w:rFonts w:ascii="Arial" w:hAnsi="Arial" w:cs="Arial"/>
                <w:bCs/>
                <w:szCs w:val="28"/>
              </w:rPr>
            </w:pPr>
            <w:r w:rsidRPr="00C96EC9">
              <w:rPr>
                <w:rFonts w:ascii="Arial" w:hAnsi="Arial" w:cs="Arial"/>
                <w:bCs/>
                <w:szCs w:val="28"/>
              </w:rPr>
              <w:t>Self-certification with regard to the Provider Licence and Review of Compliance with the NHS Foundation Trust Code of Governance</w:t>
            </w:r>
          </w:p>
        </w:tc>
      </w:tr>
      <w:tr w:rsidR="00321078" w:rsidRPr="00321078" w14:paraId="719E69C2" w14:textId="77777777" w:rsidTr="00E749CA">
        <w:trPr>
          <w:trHeight w:val="223"/>
          <w:jc w:val="center"/>
        </w:trPr>
        <w:tc>
          <w:tcPr>
            <w:tcW w:w="2547" w:type="dxa"/>
            <w:shd w:val="clear" w:color="auto" w:fill="auto"/>
          </w:tcPr>
          <w:p w14:paraId="0435AD8B" w14:textId="77777777" w:rsidR="00321078" w:rsidRPr="00E749CA" w:rsidRDefault="00321078" w:rsidP="00E749CA">
            <w:pPr>
              <w:spacing w:after="0" w:line="240" w:lineRule="auto"/>
              <w:rPr>
                <w:rFonts w:ascii="Arial" w:hAnsi="Arial" w:cs="Arial"/>
                <w:b/>
              </w:rPr>
            </w:pPr>
            <w:r w:rsidRPr="00E749CA">
              <w:rPr>
                <w:rFonts w:ascii="Arial" w:hAnsi="Arial" w:cs="Arial"/>
                <w:b/>
              </w:rPr>
              <w:t>Responsible Director:</w:t>
            </w:r>
          </w:p>
        </w:tc>
        <w:tc>
          <w:tcPr>
            <w:tcW w:w="6900" w:type="dxa"/>
            <w:shd w:val="clear" w:color="auto" w:fill="auto"/>
          </w:tcPr>
          <w:p w14:paraId="1A4F5C8E" w14:textId="4D8A8AD1" w:rsidR="00321078" w:rsidRPr="004D6D39" w:rsidRDefault="00500032" w:rsidP="00E749CA">
            <w:pPr>
              <w:spacing w:after="0" w:line="240" w:lineRule="auto"/>
              <w:rPr>
                <w:rFonts w:ascii="Arial" w:hAnsi="Arial" w:cs="Arial"/>
              </w:rPr>
            </w:pPr>
            <w:r w:rsidRPr="004D6D39">
              <w:rPr>
                <w:rFonts w:ascii="Arial" w:hAnsi="Arial" w:cs="Arial"/>
              </w:rPr>
              <w:t>Jonathan Coulter, Chief Executive Officer</w:t>
            </w:r>
          </w:p>
        </w:tc>
      </w:tr>
      <w:tr w:rsidR="00321078" w:rsidRPr="00321078" w14:paraId="77BAC5F3" w14:textId="77777777" w:rsidTr="00E749CA">
        <w:trPr>
          <w:jc w:val="center"/>
        </w:trPr>
        <w:tc>
          <w:tcPr>
            <w:tcW w:w="2547" w:type="dxa"/>
            <w:shd w:val="clear" w:color="auto" w:fill="auto"/>
          </w:tcPr>
          <w:p w14:paraId="654C1DD4" w14:textId="77777777" w:rsidR="00321078" w:rsidRPr="00E749CA" w:rsidRDefault="00321078" w:rsidP="00E749CA">
            <w:pPr>
              <w:spacing w:after="0" w:line="240" w:lineRule="auto"/>
              <w:rPr>
                <w:rFonts w:ascii="Arial" w:hAnsi="Arial" w:cs="Arial"/>
                <w:b/>
              </w:rPr>
            </w:pPr>
            <w:r w:rsidRPr="00E749CA">
              <w:rPr>
                <w:rFonts w:ascii="Arial" w:hAnsi="Arial" w:cs="Arial"/>
                <w:b/>
              </w:rPr>
              <w:t>Author:</w:t>
            </w:r>
          </w:p>
        </w:tc>
        <w:tc>
          <w:tcPr>
            <w:tcW w:w="6900" w:type="dxa"/>
            <w:shd w:val="clear" w:color="auto" w:fill="auto"/>
          </w:tcPr>
          <w:p w14:paraId="34212CA7" w14:textId="65823B1C" w:rsidR="00321078" w:rsidRPr="004D6D39" w:rsidRDefault="00500032" w:rsidP="00E749CA">
            <w:pPr>
              <w:spacing w:after="0" w:line="240" w:lineRule="auto"/>
              <w:rPr>
                <w:rFonts w:ascii="Arial" w:hAnsi="Arial" w:cs="Arial"/>
              </w:rPr>
            </w:pPr>
            <w:r w:rsidRPr="004D6D39">
              <w:rPr>
                <w:rFonts w:ascii="Arial" w:hAnsi="Arial" w:cs="Arial"/>
              </w:rPr>
              <w:t>Kate Southgate, Associate Director of Quality and Corporate Affairs</w:t>
            </w:r>
          </w:p>
        </w:tc>
      </w:tr>
    </w:tbl>
    <w:p w14:paraId="5348FFD3" w14:textId="77777777" w:rsidR="00321078" w:rsidRPr="00321078" w:rsidRDefault="00321078" w:rsidP="00321078">
      <w:pPr>
        <w:spacing w:after="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47"/>
        <w:gridCol w:w="6095"/>
        <w:gridCol w:w="805"/>
      </w:tblGrid>
      <w:tr w:rsidR="00321078" w:rsidRPr="00321078" w14:paraId="34B536B9" w14:textId="77777777" w:rsidTr="00E749CA">
        <w:trPr>
          <w:jc w:val="center"/>
        </w:trPr>
        <w:tc>
          <w:tcPr>
            <w:tcW w:w="2547" w:type="dxa"/>
            <w:shd w:val="clear" w:color="auto" w:fill="auto"/>
          </w:tcPr>
          <w:p w14:paraId="1F87ACFB" w14:textId="1AA825D9" w:rsidR="00321078" w:rsidRPr="004D6D39" w:rsidRDefault="00321078" w:rsidP="003B6207">
            <w:pPr>
              <w:rPr>
                <w:rFonts w:ascii="Arial" w:hAnsi="Arial" w:cs="Arial"/>
                <w:b/>
              </w:rPr>
            </w:pPr>
            <w:r w:rsidRPr="004D6D39">
              <w:rPr>
                <w:rFonts w:ascii="Arial" w:hAnsi="Arial" w:cs="Arial"/>
                <w:b/>
              </w:rPr>
              <w:t>Purpose of the report and summary of key issues:</w:t>
            </w:r>
          </w:p>
        </w:tc>
        <w:tc>
          <w:tcPr>
            <w:tcW w:w="6900" w:type="dxa"/>
            <w:gridSpan w:val="2"/>
            <w:shd w:val="clear" w:color="auto" w:fill="auto"/>
          </w:tcPr>
          <w:p w14:paraId="7158F110" w14:textId="102959E6" w:rsidR="004D6D39" w:rsidRPr="004D6D39" w:rsidRDefault="005C50A8" w:rsidP="004D6D39">
            <w:pPr>
              <w:spacing w:after="0" w:line="240" w:lineRule="auto"/>
              <w:rPr>
                <w:rFonts w:ascii="Arial" w:hAnsi="Arial" w:cs="Arial"/>
              </w:rPr>
            </w:pPr>
            <w:r>
              <w:rPr>
                <w:rFonts w:ascii="Arial" w:hAnsi="Arial" w:cs="Arial"/>
              </w:rPr>
              <w:t xml:space="preserve">This report provides </w:t>
            </w:r>
            <w:r w:rsidR="00C96EC9">
              <w:rPr>
                <w:rFonts w:ascii="Arial" w:hAnsi="Arial" w:cs="Arial"/>
              </w:rPr>
              <w:t>the proposed content of the Provider Licence and the review of compliance with the NHS Foundation Trust Code of Governance for approval.</w:t>
            </w:r>
          </w:p>
          <w:p w14:paraId="3303D2A8" w14:textId="54FBC9BD" w:rsidR="004D6D39" w:rsidRPr="004D6D39" w:rsidRDefault="004D6D39" w:rsidP="004D6D39">
            <w:pPr>
              <w:spacing w:after="0" w:line="240" w:lineRule="auto"/>
              <w:rPr>
                <w:rFonts w:ascii="Arial" w:hAnsi="Arial" w:cs="Arial"/>
              </w:rPr>
            </w:pPr>
          </w:p>
        </w:tc>
      </w:tr>
      <w:tr w:rsidR="00321078" w:rsidRPr="00321078" w14:paraId="05FF720E" w14:textId="77777777" w:rsidTr="00E749CA">
        <w:trPr>
          <w:jc w:val="center"/>
        </w:trPr>
        <w:tc>
          <w:tcPr>
            <w:tcW w:w="2547" w:type="dxa"/>
            <w:vMerge w:val="restart"/>
            <w:shd w:val="clear" w:color="auto" w:fill="auto"/>
          </w:tcPr>
          <w:p w14:paraId="270119D2" w14:textId="0817C932" w:rsidR="00321078" w:rsidRPr="00E749CA" w:rsidRDefault="00321078" w:rsidP="003B6207">
            <w:pPr>
              <w:rPr>
                <w:rFonts w:ascii="Arial" w:hAnsi="Arial" w:cs="Arial"/>
                <w:b/>
              </w:rPr>
            </w:pPr>
            <w:r w:rsidRPr="00E749CA">
              <w:rPr>
                <w:rFonts w:ascii="Arial" w:hAnsi="Arial" w:cs="Arial"/>
                <w:b/>
              </w:rPr>
              <w:t>Trust Strategy and Strategic Ambitions</w:t>
            </w:r>
            <w:r w:rsidR="00E749CA">
              <w:rPr>
                <w:rFonts w:ascii="Arial" w:hAnsi="Arial" w:cs="Arial"/>
                <w:b/>
              </w:rPr>
              <w:t>:</w:t>
            </w:r>
          </w:p>
        </w:tc>
        <w:tc>
          <w:tcPr>
            <w:tcW w:w="6900" w:type="dxa"/>
            <w:gridSpan w:val="2"/>
            <w:shd w:val="clear" w:color="auto" w:fill="D9D9D9" w:themeFill="background1" w:themeFillShade="D9"/>
          </w:tcPr>
          <w:p w14:paraId="7048531F" w14:textId="77777777" w:rsidR="00321078" w:rsidRPr="00321078" w:rsidRDefault="00321078" w:rsidP="003B6207">
            <w:pPr>
              <w:spacing w:after="0"/>
              <w:rPr>
                <w:rFonts w:ascii="Arial" w:hAnsi="Arial" w:cs="Arial"/>
                <w:b/>
              </w:rPr>
            </w:pPr>
            <w:r w:rsidRPr="00321078">
              <w:rPr>
                <w:rFonts w:ascii="Arial" w:hAnsi="Arial" w:cs="Arial"/>
                <w:b/>
              </w:rPr>
              <w:t>The Patient and Child First</w:t>
            </w:r>
          </w:p>
          <w:p w14:paraId="21A9B131" w14:textId="77777777" w:rsidR="00321078" w:rsidRPr="00321078" w:rsidRDefault="00321078" w:rsidP="003B6207">
            <w:pPr>
              <w:spacing w:after="0"/>
              <w:rPr>
                <w:rFonts w:ascii="Arial" w:hAnsi="Arial" w:cs="Arial"/>
              </w:rPr>
            </w:pPr>
            <w:r w:rsidRPr="00321078">
              <w:rPr>
                <w:rFonts w:ascii="Arial" w:hAnsi="Arial" w:cs="Arial"/>
              </w:rPr>
              <w:t>Improving the health and wellbeing of our patients, children and communities</w:t>
            </w:r>
          </w:p>
        </w:tc>
      </w:tr>
      <w:tr w:rsidR="00321078" w:rsidRPr="00321078" w14:paraId="7ED15898" w14:textId="77777777" w:rsidTr="00E749CA">
        <w:trPr>
          <w:jc w:val="center"/>
        </w:trPr>
        <w:tc>
          <w:tcPr>
            <w:tcW w:w="2547" w:type="dxa"/>
            <w:vMerge/>
            <w:shd w:val="clear" w:color="auto" w:fill="auto"/>
          </w:tcPr>
          <w:p w14:paraId="33C740FA" w14:textId="77777777" w:rsidR="00321078" w:rsidRPr="00E749CA" w:rsidRDefault="00321078" w:rsidP="003B6207">
            <w:pPr>
              <w:rPr>
                <w:rFonts w:ascii="Arial" w:hAnsi="Arial" w:cs="Arial"/>
                <w:b/>
              </w:rPr>
            </w:pPr>
          </w:p>
        </w:tc>
        <w:tc>
          <w:tcPr>
            <w:tcW w:w="6095" w:type="dxa"/>
            <w:shd w:val="clear" w:color="auto" w:fill="auto"/>
          </w:tcPr>
          <w:p w14:paraId="7E149201" w14:textId="77777777" w:rsidR="00321078" w:rsidRPr="00321078" w:rsidRDefault="00321078" w:rsidP="003B6207">
            <w:pPr>
              <w:spacing w:after="0"/>
              <w:rPr>
                <w:rFonts w:ascii="Arial" w:hAnsi="Arial" w:cs="Arial"/>
              </w:rPr>
            </w:pPr>
            <w:r w:rsidRPr="00321078">
              <w:rPr>
                <w:rFonts w:ascii="Arial" w:hAnsi="Arial" w:cs="Arial"/>
              </w:rPr>
              <w:t>Best Quality, Safest Care</w:t>
            </w:r>
          </w:p>
        </w:tc>
        <w:tc>
          <w:tcPr>
            <w:tcW w:w="805" w:type="dxa"/>
            <w:shd w:val="clear" w:color="auto" w:fill="auto"/>
          </w:tcPr>
          <w:p w14:paraId="763232BC" w14:textId="201FFD2A" w:rsidR="00321078" w:rsidRPr="00321078" w:rsidRDefault="004D6D39" w:rsidP="003B6207">
            <w:pPr>
              <w:spacing w:after="0"/>
              <w:rPr>
                <w:rFonts w:ascii="Arial" w:hAnsi="Arial" w:cs="Arial"/>
              </w:rPr>
            </w:pPr>
            <w:r>
              <w:rPr>
                <w:rFonts w:ascii="Arial" w:hAnsi="Arial" w:cs="Arial"/>
              </w:rPr>
              <w:t>x</w:t>
            </w:r>
          </w:p>
        </w:tc>
      </w:tr>
      <w:tr w:rsidR="00321078" w:rsidRPr="00321078" w14:paraId="1E33B5A0" w14:textId="77777777" w:rsidTr="00E749CA">
        <w:trPr>
          <w:jc w:val="center"/>
        </w:trPr>
        <w:tc>
          <w:tcPr>
            <w:tcW w:w="2547" w:type="dxa"/>
            <w:vMerge/>
            <w:shd w:val="clear" w:color="auto" w:fill="auto"/>
          </w:tcPr>
          <w:p w14:paraId="4040BAA0" w14:textId="77777777" w:rsidR="00321078" w:rsidRPr="00E749CA" w:rsidRDefault="00321078" w:rsidP="003B6207">
            <w:pPr>
              <w:rPr>
                <w:rFonts w:ascii="Arial" w:hAnsi="Arial" w:cs="Arial"/>
                <w:b/>
              </w:rPr>
            </w:pPr>
          </w:p>
        </w:tc>
        <w:tc>
          <w:tcPr>
            <w:tcW w:w="6095" w:type="dxa"/>
            <w:shd w:val="clear" w:color="auto" w:fill="auto"/>
          </w:tcPr>
          <w:p w14:paraId="0E446C43" w14:textId="77777777" w:rsidR="00321078" w:rsidRPr="00321078" w:rsidRDefault="00321078" w:rsidP="003B6207">
            <w:pPr>
              <w:spacing w:after="0"/>
              <w:rPr>
                <w:rFonts w:ascii="Arial" w:hAnsi="Arial" w:cs="Arial"/>
              </w:rPr>
            </w:pPr>
            <w:r w:rsidRPr="00321078">
              <w:rPr>
                <w:rFonts w:ascii="Arial" w:hAnsi="Arial" w:cs="Arial"/>
              </w:rPr>
              <w:t>Person Centred, Integrated Care; Strong Partnerships</w:t>
            </w:r>
          </w:p>
        </w:tc>
        <w:tc>
          <w:tcPr>
            <w:tcW w:w="805" w:type="dxa"/>
            <w:shd w:val="clear" w:color="auto" w:fill="auto"/>
          </w:tcPr>
          <w:p w14:paraId="71F9FB89" w14:textId="6C0E4D76" w:rsidR="00321078" w:rsidRPr="00321078" w:rsidRDefault="004D6D39" w:rsidP="003B6207">
            <w:pPr>
              <w:spacing w:after="0"/>
              <w:rPr>
                <w:rFonts w:ascii="Arial" w:hAnsi="Arial" w:cs="Arial"/>
              </w:rPr>
            </w:pPr>
            <w:r>
              <w:rPr>
                <w:rFonts w:ascii="Arial" w:hAnsi="Arial" w:cs="Arial"/>
              </w:rPr>
              <w:t>x</w:t>
            </w:r>
          </w:p>
        </w:tc>
      </w:tr>
      <w:tr w:rsidR="00321078" w:rsidRPr="00321078" w14:paraId="56C80A8B" w14:textId="77777777" w:rsidTr="00E749CA">
        <w:trPr>
          <w:jc w:val="center"/>
        </w:trPr>
        <w:tc>
          <w:tcPr>
            <w:tcW w:w="2547" w:type="dxa"/>
            <w:vMerge/>
            <w:shd w:val="clear" w:color="auto" w:fill="auto"/>
          </w:tcPr>
          <w:p w14:paraId="40CB8288" w14:textId="77777777" w:rsidR="00321078" w:rsidRPr="00E749CA" w:rsidRDefault="00321078" w:rsidP="003B6207">
            <w:pPr>
              <w:rPr>
                <w:rFonts w:ascii="Arial" w:hAnsi="Arial" w:cs="Arial"/>
                <w:b/>
              </w:rPr>
            </w:pPr>
          </w:p>
        </w:tc>
        <w:tc>
          <w:tcPr>
            <w:tcW w:w="6095" w:type="dxa"/>
            <w:shd w:val="clear" w:color="auto" w:fill="auto"/>
          </w:tcPr>
          <w:p w14:paraId="5A5B7937" w14:textId="77777777" w:rsidR="00321078" w:rsidRPr="00321078" w:rsidRDefault="00321078" w:rsidP="003B6207">
            <w:pPr>
              <w:spacing w:after="0"/>
              <w:rPr>
                <w:rFonts w:ascii="Arial" w:hAnsi="Arial" w:cs="Arial"/>
              </w:rPr>
            </w:pPr>
            <w:r w:rsidRPr="00321078">
              <w:rPr>
                <w:rFonts w:ascii="Arial" w:hAnsi="Arial" w:cs="Arial"/>
              </w:rPr>
              <w:t>Great Start in Life</w:t>
            </w:r>
          </w:p>
        </w:tc>
        <w:tc>
          <w:tcPr>
            <w:tcW w:w="805" w:type="dxa"/>
            <w:shd w:val="clear" w:color="auto" w:fill="auto"/>
          </w:tcPr>
          <w:p w14:paraId="02461CB5" w14:textId="76AB345C" w:rsidR="00321078" w:rsidRPr="00321078" w:rsidRDefault="004D6D39" w:rsidP="003B6207">
            <w:pPr>
              <w:spacing w:after="0"/>
              <w:rPr>
                <w:rFonts w:ascii="Arial" w:hAnsi="Arial" w:cs="Arial"/>
              </w:rPr>
            </w:pPr>
            <w:r>
              <w:rPr>
                <w:rFonts w:ascii="Arial" w:hAnsi="Arial" w:cs="Arial"/>
              </w:rPr>
              <w:t>x</w:t>
            </w:r>
          </w:p>
        </w:tc>
      </w:tr>
      <w:tr w:rsidR="00321078" w:rsidRPr="00321078" w14:paraId="257C7005" w14:textId="77777777" w:rsidTr="00E749CA">
        <w:trPr>
          <w:jc w:val="center"/>
        </w:trPr>
        <w:tc>
          <w:tcPr>
            <w:tcW w:w="2547" w:type="dxa"/>
            <w:vMerge/>
            <w:shd w:val="clear" w:color="auto" w:fill="auto"/>
          </w:tcPr>
          <w:p w14:paraId="53495894" w14:textId="77777777" w:rsidR="00321078" w:rsidRPr="00E749CA" w:rsidRDefault="00321078" w:rsidP="003B6207">
            <w:pPr>
              <w:rPr>
                <w:rFonts w:ascii="Arial" w:hAnsi="Arial" w:cs="Arial"/>
                <w:b/>
              </w:rPr>
            </w:pPr>
          </w:p>
        </w:tc>
        <w:tc>
          <w:tcPr>
            <w:tcW w:w="6095" w:type="dxa"/>
            <w:shd w:val="clear" w:color="auto" w:fill="auto"/>
          </w:tcPr>
          <w:p w14:paraId="3FD80DB1" w14:textId="77777777" w:rsidR="00321078" w:rsidRPr="00321078" w:rsidRDefault="00321078" w:rsidP="003B6207">
            <w:pPr>
              <w:spacing w:after="0"/>
              <w:rPr>
                <w:rFonts w:ascii="Arial" w:hAnsi="Arial" w:cs="Arial"/>
              </w:rPr>
            </w:pPr>
            <w:r w:rsidRPr="00321078">
              <w:rPr>
                <w:rFonts w:ascii="Arial" w:hAnsi="Arial" w:cs="Arial"/>
              </w:rPr>
              <w:t>At Our Best: Making HDFT the best place to work</w:t>
            </w:r>
          </w:p>
        </w:tc>
        <w:tc>
          <w:tcPr>
            <w:tcW w:w="805" w:type="dxa"/>
            <w:shd w:val="clear" w:color="auto" w:fill="auto"/>
          </w:tcPr>
          <w:p w14:paraId="5E9216AA" w14:textId="524918F3" w:rsidR="00321078" w:rsidRPr="00321078" w:rsidRDefault="004D6D39" w:rsidP="003B6207">
            <w:pPr>
              <w:spacing w:after="0"/>
              <w:rPr>
                <w:rFonts w:ascii="Arial" w:hAnsi="Arial" w:cs="Arial"/>
              </w:rPr>
            </w:pPr>
            <w:r>
              <w:rPr>
                <w:rFonts w:ascii="Arial" w:hAnsi="Arial" w:cs="Arial"/>
              </w:rPr>
              <w:t>x</w:t>
            </w:r>
          </w:p>
        </w:tc>
      </w:tr>
      <w:tr w:rsidR="00321078" w:rsidRPr="00321078" w14:paraId="1A5D0B6C" w14:textId="77777777" w:rsidTr="00E749CA">
        <w:trPr>
          <w:jc w:val="center"/>
        </w:trPr>
        <w:tc>
          <w:tcPr>
            <w:tcW w:w="2547" w:type="dxa"/>
            <w:vMerge/>
            <w:shd w:val="clear" w:color="auto" w:fill="auto"/>
          </w:tcPr>
          <w:p w14:paraId="31E237C0" w14:textId="77777777" w:rsidR="00321078" w:rsidRPr="00E749CA" w:rsidRDefault="00321078" w:rsidP="003B6207">
            <w:pPr>
              <w:rPr>
                <w:rFonts w:ascii="Arial" w:hAnsi="Arial" w:cs="Arial"/>
                <w:b/>
              </w:rPr>
            </w:pPr>
          </w:p>
        </w:tc>
        <w:tc>
          <w:tcPr>
            <w:tcW w:w="6095" w:type="dxa"/>
            <w:shd w:val="clear" w:color="auto" w:fill="auto"/>
          </w:tcPr>
          <w:p w14:paraId="4E81829D" w14:textId="77777777" w:rsidR="00321078" w:rsidRPr="00321078" w:rsidRDefault="00321078" w:rsidP="003B6207">
            <w:pPr>
              <w:spacing w:after="0"/>
              <w:rPr>
                <w:rFonts w:ascii="Arial" w:hAnsi="Arial" w:cs="Arial"/>
              </w:rPr>
            </w:pPr>
            <w:r w:rsidRPr="00321078">
              <w:rPr>
                <w:rFonts w:ascii="Arial" w:hAnsi="Arial" w:cs="Arial"/>
              </w:rPr>
              <w:t>An environment that promotes wellbeing</w:t>
            </w:r>
          </w:p>
        </w:tc>
        <w:tc>
          <w:tcPr>
            <w:tcW w:w="805" w:type="dxa"/>
            <w:shd w:val="clear" w:color="auto" w:fill="auto"/>
          </w:tcPr>
          <w:p w14:paraId="597C8DE9" w14:textId="06F0CD4E" w:rsidR="00321078" w:rsidRPr="00321078" w:rsidRDefault="004D6D39" w:rsidP="003B6207">
            <w:pPr>
              <w:spacing w:after="0"/>
              <w:rPr>
                <w:rFonts w:ascii="Arial" w:hAnsi="Arial" w:cs="Arial"/>
              </w:rPr>
            </w:pPr>
            <w:r>
              <w:rPr>
                <w:rFonts w:ascii="Arial" w:hAnsi="Arial" w:cs="Arial"/>
              </w:rPr>
              <w:t>x</w:t>
            </w:r>
          </w:p>
        </w:tc>
      </w:tr>
      <w:tr w:rsidR="00321078" w:rsidRPr="00321078" w14:paraId="6E9B7F6F" w14:textId="77777777" w:rsidTr="00E749CA">
        <w:trPr>
          <w:jc w:val="center"/>
        </w:trPr>
        <w:tc>
          <w:tcPr>
            <w:tcW w:w="2547" w:type="dxa"/>
            <w:vMerge/>
            <w:shd w:val="clear" w:color="auto" w:fill="auto"/>
          </w:tcPr>
          <w:p w14:paraId="7E8BF7A9" w14:textId="77777777" w:rsidR="00321078" w:rsidRPr="00E749CA" w:rsidRDefault="00321078" w:rsidP="003B6207">
            <w:pPr>
              <w:rPr>
                <w:rFonts w:ascii="Arial" w:hAnsi="Arial" w:cs="Arial"/>
                <w:b/>
              </w:rPr>
            </w:pPr>
          </w:p>
        </w:tc>
        <w:tc>
          <w:tcPr>
            <w:tcW w:w="6095" w:type="dxa"/>
            <w:shd w:val="clear" w:color="auto" w:fill="auto"/>
          </w:tcPr>
          <w:p w14:paraId="5AA90EE5" w14:textId="77777777" w:rsidR="00321078" w:rsidRPr="00321078" w:rsidRDefault="00321078" w:rsidP="003B6207">
            <w:pPr>
              <w:spacing w:after="0"/>
              <w:rPr>
                <w:rFonts w:ascii="Arial" w:hAnsi="Arial" w:cs="Arial"/>
              </w:rPr>
            </w:pPr>
            <w:r w:rsidRPr="00321078">
              <w:rPr>
                <w:rFonts w:ascii="Arial" w:hAnsi="Arial" w:cs="Arial"/>
              </w:rPr>
              <w:t>Digital transformation to integrate care and improve patient, child and staff experience</w:t>
            </w:r>
          </w:p>
        </w:tc>
        <w:tc>
          <w:tcPr>
            <w:tcW w:w="805" w:type="dxa"/>
            <w:shd w:val="clear" w:color="auto" w:fill="auto"/>
          </w:tcPr>
          <w:p w14:paraId="22AD54D0" w14:textId="29377136" w:rsidR="00321078" w:rsidRPr="00321078" w:rsidRDefault="004D6D39" w:rsidP="003B6207">
            <w:pPr>
              <w:spacing w:after="0"/>
              <w:rPr>
                <w:rFonts w:ascii="Arial" w:hAnsi="Arial" w:cs="Arial"/>
              </w:rPr>
            </w:pPr>
            <w:r>
              <w:rPr>
                <w:rFonts w:ascii="Arial" w:hAnsi="Arial" w:cs="Arial"/>
              </w:rPr>
              <w:t>x</w:t>
            </w:r>
          </w:p>
        </w:tc>
      </w:tr>
      <w:tr w:rsidR="00321078" w:rsidRPr="00321078" w14:paraId="06AE729B" w14:textId="77777777" w:rsidTr="00E749CA">
        <w:trPr>
          <w:jc w:val="center"/>
        </w:trPr>
        <w:tc>
          <w:tcPr>
            <w:tcW w:w="2547" w:type="dxa"/>
            <w:vMerge/>
            <w:shd w:val="clear" w:color="auto" w:fill="auto"/>
          </w:tcPr>
          <w:p w14:paraId="5E74B74A" w14:textId="77777777" w:rsidR="00321078" w:rsidRPr="00E749CA" w:rsidRDefault="00321078" w:rsidP="003B6207">
            <w:pPr>
              <w:rPr>
                <w:rFonts w:ascii="Arial" w:hAnsi="Arial" w:cs="Arial"/>
                <w:b/>
              </w:rPr>
            </w:pPr>
          </w:p>
        </w:tc>
        <w:tc>
          <w:tcPr>
            <w:tcW w:w="6095" w:type="dxa"/>
            <w:shd w:val="clear" w:color="auto" w:fill="auto"/>
          </w:tcPr>
          <w:p w14:paraId="3EA8765D" w14:textId="77777777" w:rsidR="00321078" w:rsidRPr="00321078" w:rsidRDefault="00321078" w:rsidP="003B6207">
            <w:pPr>
              <w:spacing w:after="0"/>
              <w:rPr>
                <w:rFonts w:ascii="Arial" w:hAnsi="Arial" w:cs="Arial"/>
              </w:rPr>
            </w:pPr>
            <w:r w:rsidRPr="00321078">
              <w:rPr>
                <w:rFonts w:ascii="Arial" w:hAnsi="Arial" w:cs="Arial"/>
              </w:rPr>
              <w:t>Healthcare innovation to improve quality</w:t>
            </w:r>
          </w:p>
        </w:tc>
        <w:tc>
          <w:tcPr>
            <w:tcW w:w="805" w:type="dxa"/>
            <w:shd w:val="clear" w:color="auto" w:fill="auto"/>
          </w:tcPr>
          <w:p w14:paraId="5FD19783" w14:textId="1650DC5B" w:rsidR="00321078" w:rsidRPr="00321078" w:rsidRDefault="004D6D39" w:rsidP="003B6207">
            <w:pPr>
              <w:spacing w:after="0"/>
              <w:rPr>
                <w:rFonts w:ascii="Arial" w:hAnsi="Arial" w:cs="Arial"/>
              </w:rPr>
            </w:pPr>
            <w:r>
              <w:rPr>
                <w:rFonts w:ascii="Arial" w:hAnsi="Arial" w:cs="Arial"/>
              </w:rPr>
              <w:t>x</w:t>
            </w:r>
          </w:p>
        </w:tc>
      </w:tr>
      <w:tr w:rsidR="00321078" w:rsidRPr="00321078" w14:paraId="67DAA810" w14:textId="77777777" w:rsidTr="00E749CA">
        <w:trPr>
          <w:jc w:val="center"/>
        </w:trPr>
        <w:tc>
          <w:tcPr>
            <w:tcW w:w="2547" w:type="dxa"/>
            <w:shd w:val="clear" w:color="auto" w:fill="auto"/>
          </w:tcPr>
          <w:p w14:paraId="3F30EED1" w14:textId="138E3CA3" w:rsidR="00321078" w:rsidRPr="00E749CA" w:rsidRDefault="00321078" w:rsidP="00E749CA">
            <w:pPr>
              <w:spacing w:after="0" w:line="240" w:lineRule="auto"/>
              <w:rPr>
                <w:rFonts w:ascii="Arial" w:hAnsi="Arial" w:cs="Arial"/>
                <w:b/>
              </w:rPr>
            </w:pPr>
            <w:r w:rsidRPr="00E749CA">
              <w:rPr>
                <w:rFonts w:ascii="Arial" w:hAnsi="Arial" w:cs="Arial"/>
                <w:b/>
              </w:rPr>
              <w:t>Corporate Risks</w:t>
            </w:r>
            <w:r w:rsidR="00E749CA">
              <w:rPr>
                <w:rFonts w:ascii="Arial" w:hAnsi="Arial" w:cs="Arial"/>
                <w:b/>
              </w:rPr>
              <w:t>:</w:t>
            </w:r>
          </w:p>
          <w:p w14:paraId="6D6F5B01" w14:textId="1B44F327" w:rsidR="00E749CA" w:rsidRPr="00E749CA" w:rsidRDefault="00E749CA" w:rsidP="00E749CA">
            <w:pPr>
              <w:spacing w:after="0" w:line="240" w:lineRule="auto"/>
              <w:rPr>
                <w:rFonts w:ascii="Arial" w:hAnsi="Arial" w:cs="Arial"/>
                <w:b/>
              </w:rPr>
            </w:pPr>
          </w:p>
        </w:tc>
        <w:tc>
          <w:tcPr>
            <w:tcW w:w="6900" w:type="dxa"/>
            <w:gridSpan w:val="2"/>
            <w:shd w:val="clear" w:color="auto" w:fill="auto"/>
          </w:tcPr>
          <w:p w14:paraId="64032621" w14:textId="723A30D6" w:rsidR="00321078" w:rsidRPr="00321078" w:rsidRDefault="004D6D39" w:rsidP="00E749CA">
            <w:pPr>
              <w:spacing w:after="0" w:line="240" w:lineRule="auto"/>
              <w:rPr>
                <w:rFonts w:ascii="Arial" w:hAnsi="Arial" w:cs="Arial"/>
              </w:rPr>
            </w:pPr>
            <w:r>
              <w:rPr>
                <w:rFonts w:ascii="Arial" w:hAnsi="Arial" w:cs="Arial"/>
              </w:rPr>
              <w:t>Non noted</w:t>
            </w:r>
          </w:p>
        </w:tc>
      </w:tr>
      <w:tr w:rsidR="00321078" w:rsidRPr="00321078" w14:paraId="4D9008E2" w14:textId="77777777" w:rsidTr="00E749CA">
        <w:trPr>
          <w:jc w:val="center"/>
        </w:trPr>
        <w:tc>
          <w:tcPr>
            <w:tcW w:w="2547" w:type="dxa"/>
            <w:shd w:val="clear" w:color="auto" w:fill="auto"/>
          </w:tcPr>
          <w:p w14:paraId="4A6E531E" w14:textId="77777777" w:rsidR="00321078" w:rsidRPr="00E749CA" w:rsidRDefault="00321078" w:rsidP="00E749CA">
            <w:pPr>
              <w:spacing w:after="0" w:line="240" w:lineRule="auto"/>
              <w:rPr>
                <w:rFonts w:ascii="Arial" w:hAnsi="Arial" w:cs="Arial"/>
                <w:b/>
              </w:rPr>
            </w:pPr>
            <w:r w:rsidRPr="00E749CA">
              <w:rPr>
                <w:rFonts w:ascii="Arial" w:hAnsi="Arial" w:cs="Arial"/>
                <w:b/>
              </w:rPr>
              <w:t>Report History:</w:t>
            </w:r>
          </w:p>
          <w:p w14:paraId="05776F8F" w14:textId="77777777" w:rsidR="00321078" w:rsidRPr="00E749CA" w:rsidRDefault="00321078" w:rsidP="00E749CA">
            <w:pPr>
              <w:spacing w:after="0" w:line="240" w:lineRule="auto"/>
              <w:rPr>
                <w:rFonts w:ascii="Arial" w:hAnsi="Arial" w:cs="Arial"/>
                <w:b/>
              </w:rPr>
            </w:pPr>
          </w:p>
        </w:tc>
        <w:tc>
          <w:tcPr>
            <w:tcW w:w="6900" w:type="dxa"/>
            <w:gridSpan w:val="2"/>
            <w:shd w:val="clear" w:color="auto" w:fill="auto"/>
          </w:tcPr>
          <w:p w14:paraId="51FF6344" w14:textId="5958E528" w:rsidR="00321078" w:rsidRPr="00321078" w:rsidRDefault="00ED43DB" w:rsidP="00E749CA">
            <w:pPr>
              <w:spacing w:after="0" w:line="240" w:lineRule="auto"/>
              <w:rPr>
                <w:rFonts w:ascii="Arial" w:hAnsi="Arial" w:cs="Arial"/>
              </w:rPr>
            </w:pPr>
            <w:r>
              <w:rPr>
                <w:rFonts w:ascii="Arial" w:hAnsi="Arial" w:cs="Arial"/>
              </w:rPr>
              <w:t>The Report was reviewed by the Audit Committee on the 7</w:t>
            </w:r>
            <w:r w:rsidRPr="00ED43DB">
              <w:rPr>
                <w:rFonts w:ascii="Arial" w:hAnsi="Arial" w:cs="Arial"/>
                <w:vertAlign w:val="superscript"/>
              </w:rPr>
              <w:t>th</w:t>
            </w:r>
            <w:r>
              <w:rPr>
                <w:rFonts w:ascii="Arial" w:hAnsi="Arial" w:cs="Arial"/>
              </w:rPr>
              <w:t xml:space="preserve"> May 2025.  </w:t>
            </w:r>
          </w:p>
        </w:tc>
      </w:tr>
      <w:tr w:rsidR="00321078" w:rsidRPr="00321078" w14:paraId="6BF6F056" w14:textId="77777777" w:rsidTr="00E749CA">
        <w:trPr>
          <w:jc w:val="center"/>
        </w:trPr>
        <w:tc>
          <w:tcPr>
            <w:tcW w:w="2547" w:type="dxa"/>
            <w:shd w:val="clear" w:color="auto" w:fill="auto"/>
          </w:tcPr>
          <w:p w14:paraId="29B1B67F" w14:textId="77777777" w:rsidR="00321078" w:rsidRPr="00E749CA" w:rsidRDefault="00321078" w:rsidP="00E749CA">
            <w:pPr>
              <w:spacing w:after="0" w:line="240" w:lineRule="auto"/>
              <w:rPr>
                <w:rFonts w:ascii="Arial" w:hAnsi="Arial" w:cs="Arial"/>
                <w:b/>
              </w:rPr>
            </w:pPr>
            <w:r w:rsidRPr="00E749CA">
              <w:rPr>
                <w:rFonts w:ascii="Arial" w:hAnsi="Arial" w:cs="Arial"/>
                <w:b/>
              </w:rPr>
              <w:t>Recommendation:</w:t>
            </w:r>
          </w:p>
          <w:p w14:paraId="58344850" w14:textId="77777777" w:rsidR="00321078" w:rsidRPr="00E749CA" w:rsidRDefault="00321078" w:rsidP="00E749CA">
            <w:pPr>
              <w:spacing w:after="0" w:line="240" w:lineRule="auto"/>
              <w:rPr>
                <w:rFonts w:cs="Arial"/>
                <w:b/>
              </w:rPr>
            </w:pPr>
          </w:p>
          <w:p w14:paraId="21B2EB4C" w14:textId="5346A4FC" w:rsidR="00E749CA" w:rsidRPr="00E749CA" w:rsidRDefault="00E749CA" w:rsidP="00E749CA">
            <w:pPr>
              <w:spacing w:after="0" w:line="240" w:lineRule="auto"/>
              <w:rPr>
                <w:rFonts w:cs="Arial"/>
                <w:b/>
              </w:rPr>
            </w:pPr>
          </w:p>
        </w:tc>
        <w:tc>
          <w:tcPr>
            <w:tcW w:w="6900" w:type="dxa"/>
            <w:gridSpan w:val="2"/>
            <w:shd w:val="clear" w:color="auto" w:fill="auto"/>
          </w:tcPr>
          <w:p w14:paraId="67F98F2F" w14:textId="1E4BA199" w:rsidR="004D6D39" w:rsidRPr="00C96EC9" w:rsidRDefault="00C96EC9" w:rsidP="00ED43DB">
            <w:pPr>
              <w:spacing w:after="0" w:line="240" w:lineRule="auto"/>
              <w:rPr>
                <w:rFonts w:ascii="Arial" w:hAnsi="Arial" w:cs="Arial"/>
              </w:rPr>
            </w:pPr>
            <w:r w:rsidRPr="00C96EC9">
              <w:rPr>
                <w:rFonts w:ascii="Arial" w:hAnsi="Arial" w:cs="Arial"/>
              </w:rPr>
              <w:t xml:space="preserve">The </w:t>
            </w:r>
            <w:r w:rsidR="00ED43DB">
              <w:rPr>
                <w:rFonts w:ascii="Arial" w:hAnsi="Arial" w:cs="Arial"/>
              </w:rPr>
              <w:t xml:space="preserve">Board </w:t>
            </w:r>
            <w:r w:rsidRPr="00C96EC9">
              <w:rPr>
                <w:rFonts w:ascii="Arial" w:hAnsi="Arial" w:cs="Arial"/>
              </w:rPr>
              <w:t>is recommended to approve the Compliance declaration.</w:t>
            </w:r>
          </w:p>
        </w:tc>
      </w:tr>
    </w:tbl>
    <w:p w14:paraId="0119076A" w14:textId="383E2794" w:rsidR="002703C8" w:rsidRDefault="002703C8" w:rsidP="00CD105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47"/>
        <w:gridCol w:w="6900"/>
      </w:tblGrid>
      <w:tr w:rsidR="00321078" w:rsidRPr="00321078" w14:paraId="06C6FAED" w14:textId="77777777" w:rsidTr="00E749CA">
        <w:trPr>
          <w:jc w:val="center"/>
        </w:trPr>
        <w:tc>
          <w:tcPr>
            <w:tcW w:w="2547" w:type="dxa"/>
            <w:shd w:val="clear" w:color="auto" w:fill="auto"/>
          </w:tcPr>
          <w:p w14:paraId="15912A22" w14:textId="68C70D10" w:rsidR="00321078" w:rsidRPr="00E749CA" w:rsidRDefault="00321078" w:rsidP="00E749CA">
            <w:pPr>
              <w:spacing w:after="0"/>
              <w:rPr>
                <w:rFonts w:ascii="Arial" w:hAnsi="Arial" w:cs="Arial"/>
                <w:b/>
              </w:rPr>
            </w:pPr>
            <w:r w:rsidRPr="00E749CA">
              <w:rPr>
                <w:rFonts w:ascii="Arial" w:hAnsi="Arial" w:cs="Arial"/>
                <w:b/>
              </w:rPr>
              <w:t>Freedom of Information</w:t>
            </w:r>
            <w:r w:rsidR="00E749CA">
              <w:rPr>
                <w:rFonts w:ascii="Arial" w:hAnsi="Arial" w:cs="Arial"/>
                <w:b/>
              </w:rPr>
              <w:t>:</w:t>
            </w:r>
          </w:p>
        </w:tc>
        <w:tc>
          <w:tcPr>
            <w:tcW w:w="6900" w:type="dxa"/>
            <w:shd w:val="clear" w:color="auto" w:fill="auto"/>
          </w:tcPr>
          <w:p w14:paraId="7D0A14A5" w14:textId="452D4721" w:rsidR="00321078" w:rsidRPr="00321078" w:rsidRDefault="00C96EC9" w:rsidP="00E749CA">
            <w:pPr>
              <w:spacing w:after="0"/>
              <w:rPr>
                <w:rFonts w:ascii="Arial" w:hAnsi="Arial" w:cs="Arial"/>
                <w:color w:val="FF0000"/>
              </w:rPr>
            </w:pPr>
            <w:r>
              <w:rPr>
                <w:rFonts w:ascii="Arial" w:hAnsi="Arial" w:cs="Arial"/>
              </w:rPr>
              <w:t xml:space="preserve">Available following approval at the Trust Board in Public </w:t>
            </w:r>
          </w:p>
        </w:tc>
      </w:tr>
    </w:tbl>
    <w:p w14:paraId="75252C85" w14:textId="4F4A53EF" w:rsidR="00321078" w:rsidRDefault="00321078" w:rsidP="00CD105E">
      <w:pPr>
        <w:rPr>
          <w:rFonts w:ascii="Arial" w:hAnsi="Arial" w:cs="Arial"/>
        </w:rPr>
      </w:pPr>
    </w:p>
    <w:p w14:paraId="7182E764" w14:textId="5C418FF8" w:rsidR="00C96EC9" w:rsidRDefault="00C96EC9">
      <w:pPr>
        <w:rPr>
          <w:rFonts w:ascii="Arial" w:hAnsi="Arial" w:cs="Arial"/>
        </w:rPr>
      </w:pPr>
      <w:r>
        <w:rPr>
          <w:rFonts w:ascii="Arial" w:hAnsi="Arial" w:cs="Arial"/>
        </w:rPr>
        <w:br w:type="page"/>
      </w:r>
    </w:p>
    <w:p w14:paraId="7F7C39C3" w14:textId="77777777" w:rsidR="00ED43DB" w:rsidRPr="00321078" w:rsidRDefault="00ED43DB" w:rsidP="00ED43DB">
      <w:pPr>
        <w:tabs>
          <w:tab w:val="left" w:pos="7635"/>
        </w:tabs>
        <w:spacing w:after="0" w:line="360" w:lineRule="auto"/>
        <w:jc w:val="center"/>
        <w:rPr>
          <w:rFonts w:ascii="Arial" w:hAnsi="Arial" w:cs="Arial"/>
          <w:b/>
          <w:bCs/>
          <w:sz w:val="24"/>
          <w:szCs w:val="28"/>
        </w:rPr>
      </w:pPr>
      <w:r>
        <w:rPr>
          <w:rFonts w:ascii="Arial" w:hAnsi="Arial" w:cs="Arial"/>
          <w:b/>
          <w:bCs/>
          <w:sz w:val="24"/>
          <w:szCs w:val="28"/>
        </w:rPr>
        <w:lastRenderedPageBreak/>
        <w:t>TRUST BOARD (in Public)</w:t>
      </w:r>
    </w:p>
    <w:p w14:paraId="1F51D81E" w14:textId="77777777" w:rsidR="00C96EC9" w:rsidRDefault="00C96EC9" w:rsidP="00C96EC9">
      <w:pPr>
        <w:tabs>
          <w:tab w:val="left" w:pos="7635"/>
        </w:tabs>
        <w:spacing w:after="0" w:line="240" w:lineRule="auto"/>
        <w:jc w:val="center"/>
        <w:rPr>
          <w:rFonts w:ascii="Arial" w:hAnsi="Arial" w:cs="Arial"/>
          <w:b/>
          <w:bCs/>
          <w:sz w:val="24"/>
          <w:szCs w:val="28"/>
        </w:rPr>
      </w:pPr>
    </w:p>
    <w:p w14:paraId="637AB208" w14:textId="2D1C7CC6" w:rsidR="00C96EC9" w:rsidRDefault="00C96EC9" w:rsidP="00C96EC9">
      <w:pPr>
        <w:tabs>
          <w:tab w:val="left" w:pos="7635"/>
        </w:tabs>
        <w:spacing w:after="0" w:line="240" w:lineRule="auto"/>
        <w:jc w:val="center"/>
        <w:rPr>
          <w:rFonts w:ascii="Arial" w:hAnsi="Arial" w:cs="Arial"/>
          <w:b/>
          <w:bCs/>
          <w:sz w:val="24"/>
          <w:szCs w:val="28"/>
        </w:rPr>
      </w:pPr>
      <w:r>
        <w:rPr>
          <w:rFonts w:ascii="Arial" w:hAnsi="Arial" w:cs="Arial"/>
          <w:b/>
          <w:bCs/>
          <w:sz w:val="24"/>
          <w:szCs w:val="28"/>
        </w:rPr>
        <w:t>Self-certification with regard to the Provider Licence and Review of Compliance with the Code of Governance</w:t>
      </w:r>
      <w:r w:rsidR="000A476D">
        <w:rPr>
          <w:rFonts w:ascii="Arial" w:hAnsi="Arial" w:cs="Arial"/>
          <w:b/>
          <w:bCs/>
          <w:sz w:val="24"/>
          <w:szCs w:val="28"/>
        </w:rPr>
        <w:t xml:space="preserve"> for NHS Providers</w:t>
      </w:r>
    </w:p>
    <w:p w14:paraId="665EFC42" w14:textId="77777777" w:rsidR="00C96EC9" w:rsidRPr="00321078" w:rsidRDefault="00C96EC9" w:rsidP="00C96EC9">
      <w:pPr>
        <w:tabs>
          <w:tab w:val="left" w:pos="7635"/>
        </w:tabs>
        <w:spacing w:after="0" w:line="240" w:lineRule="auto"/>
        <w:jc w:val="center"/>
        <w:rPr>
          <w:rFonts w:ascii="Arial" w:hAnsi="Arial" w:cs="Arial"/>
          <w:b/>
          <w:bCs/>
          <w:sz w:val="24"/>
          <w:szCs w:val="28"/>
        </w:rPr>
      </w:pPr>
    </w:p>
    <w:p w14:paraId="5B2C4F24" w14:textId="7C5D722E" w:rsidR="00C96EC9" w:rsidRPr="00321078" w:rsidRDefault="00ED43DB" w:rsidP="00C96EC9">
      <w:pPr>
        <w:tabs>
          <w:tab w:val="left" w:pos="7635"/>
        </w:tabs>
        <w:spacing w:after="0" w:line="240" w:lineRule="auto"/>
        <w:jc w:val="center"/>
        <w:rPr>
          <w:rStyle w:val="Doctitle"/>
          <w:rFonts w:cs="Arial"/>
          <w:sz w:val="24"/>
          <w:szCs w:val="28"/>
        </w:rPr>
      </w:pPr>
      <w:r>
        <w:rPr>
          <w:rStyle w:val="Doctitle"/>
          <w:rFonts w:cs="Arial"/>
          <w:sz w:val="24"/>
          <w:szCs w:val="28"/>
        </w:rPr>
        <w:t>28</w:t>
      </w:r>
      <w:r w:rsidRPr="00ED43DB">
        <w:rPr>
          <w:rStyle w:val="Doctitle"/>
          <w:rFonts w:cs="Arial"/>
          <w:sz w:val="24"/>
          <w:szCs w:val="28"/>
          <w:vertAlign w:val="superscript"/>
        </w:rPr>
        <w:t>th</w:t>
      </w:r>
      <w:r>
        <w:rPr>
          <w:rStyle w:val="Doctitle"/>
          <w:rFonts w:cs="Arial"/>
          <w:sz w:val="24"/>
          <w:szCs w:val="28"/>
        </w:rPr>
        <w:t xml:space="preserve"> May 2025</w:t>
      </w:r>
    </w:p>
    <w:p w14:paraId="62D2BA5B" w14:textId="77777777" w:rsidR="00C96EC9" w:rsidRDefault="00C96EC9" w:rsidP="00CD105E">
      <w:pPr>
        <w:rPr>
          <w:rFonts w:ascii="Arial" w:hAnsi="Arial" w:cs="Arial"/>
        </w:rPr>
      </w:pPr>
    </w:p>
    <w:p w14:paraId="58350317" w14:textId="031107B4" w:rsidR="00C96EC9" w:rsidRPr="00C96EC9" w:rsidRDefault="00C96EC9" w:rsidP="00CD105E">
      <w:pPr>
        <w:rPr>
          <w:rFonts w:ascii="Arial" w:hAnsi="Arial" w:cs="Arial"/>
          <w:b/>
        </w:rPr>
      </w:pPr>
      <w:r>
        <w:rPr>
          <w:rFonts w:ascii="Arial" w:hAnsi="Arial" w:cs="Arial"/>
          <w:b/>
        </w:rPr>
        <w:t xml:space="preserve">1.0 </w:t>
      </w:r>
      <w:r>
        <w:rPr>
          <w:rFonts w:ascii="Arial" w:hAnsi="Arial" w:cs="Arial"/>
          <w:b/>
        </w:rPr>
        <w:tab/>
        <w:t>INTRODUCTION</w:t>
      </w:r>
    </w:p>
    <w:p w14:paraId="3B367E6F" w14:textId="77777777" w:rsidR="000A476D" w:rsidRDefault="00C96EC9" w:rsidP="00C96EC9">
      <w:pPr>
        <w:ind w:left="720"/>
        <w:rPr>
          <w:rFonts w:ascii="Arial" w:hAnsi="Arial" w:cs="Arial"/>
        </w:rPr>
      </w:pPr>
      <w:r w:rsidRPr="00C96EC9">
        <w:rPr>
          <w:rFonts w:ascii="Arial" w:hAnsi="Arial" w:cs="Arial"/>
        </w:rPr>
        <w:t xml:space="preserve">NHS Foundation Trusts are required to self-certify annually whether or not they have complied with the conditions of the NHS provider licence. In addition, NHS England (NHSE) requires the Trust to make a number of governance declarations which are certified by the Board of Directors. </w:t>
      </w:r>
    </w:p>
    <w:p w14:paraId="7E238EFA" w14:textId="0DC8A047" w:rsidR="000A476D" w:rsidRPr="000A476D" w:rsidRDefault="000A476D" w:rsidP="000A476D">
      <w:pPr>
        <w:ind w:left="720"/>
        <w:rPr>
          <w:rFonts w:ascii="Arial" w:hAnsi="Arial" w:cs="Arial"/>
          <w:i/>
        </w:rPr>
      </w:pPr>
      <w:r w:rsidRPr="00C96EC9">
        <w:rPr>
          <w:rFonts w:ascii="Arial" w:hAnsi="Arial" w:cs="Arial"/>
        </w:rPr>
        <w:t xml:space="preserve">NHS England (NHSE) </w:t>
      </w:r>
      <w:r>
        <w:rPr>
          <w:rFonts w:ascii="Arial" w:hAnsi="Arial" w:cs="Arial"/>
        </w:rPr>
        <w:t xml:space="preserve">replaced the </w:t>
      </w:r>
      <w:r w:rsidRPr="000A476D">
        <w:rPr>
          <w:rFonts w:ascii="Arial" w:hAnsi="Arial" w:cs="Arial"/>
          <w:i/>
        </w:rPr>
        <w:t>NHS Foundation Trust Code of Governance</w:t>
      </w:r>
      <w:r>
        <w:rPr>
          <w:rFonts w:ascii="Arial" w:hAnsi="Arial" w:cs="Arial"/>
        </w:rPr>
        <w:t xml:space="preserve"> on 1</w:t>
      </w:r>
      <w:r w:rsidRPr="000A476D">
        <w:rPr>
          <w:rFonts w:ascii="Arial" w:hAnsi="Arial" w:cs="Arial"/>
          <w:vertAlign w:val="superscript"/>
        </w:rPr>
        <w:t>st</w:t>
      </w:r>
      <w:r>
        <w:rPr>
          <w:rFonts w:ascii="Arial" w:hAnsi="Arial" w:cs="Arial"/>
        </w:rPr>
        <w:t xml:space="preserve"> April 2023 with the </w:t>
      </w:r>
      <w:r>
        <w:rPr>
          <w:rFonts w:ascii="Arial" w:hAnsi="Arial" w:cs="Arial"/>
          <w:i/>
        </w:rPr>
        <w:t>Code of Governance for NHS Provider Trusts.</w:t>
      </w:r>
    </w:p>
    <w:p w14:paraId="0DC06750" w14:textId="295CA2AB" w:rsidR="00C96EC9" w:rsidRDefault="00B27F7A" w:rsidP="00C96EC9">
      <w:pPr>
        <w:ind w:left="720"/>
        <w:rPr>
          <w:rFonts w:ascii="Arial" w:hAnsi="Arial" w:cs="Arial"/>
        </w:rPr>
      </w:pPr>
      <w:r>
        <w:rPr>
          <w:rFonts w:ascii="Arial" w:hAnsi="Arial" w:cs="Arial"/>
        </w:rPr>
        <w:t>The</w:t>
      </w:r>
      <w:r w:rsidR="00C96EC9" w:rsidRPr="00C96EC9">
        <w:rPr>
          <w:rFonts w:ascii="Arial" w:hAnsi="Arial" w:cs="Arial"/>
        </w:rPr>
        <w:t xml:space="preserve"> declarations </w:t>
      </w:r>
      <w:r>
        <w:rPr>
          <w:rFonts w:ascii="Arial" w:hAnsi="Arial" w:cs="Arial"/>
        </w:rPr>
        <w:t xml:space="preserve">required in </w:t>
      </w:r>
      <w:r w:rsidR="00C96EC9" w:rsidRPr="00C96EC9">
        <w:rPr>
          <w:rFonts w:ascii="Arial" w:hAnsi="Arial" w:cs="Arial"/>
        </w:rPr>
        <w:t>relate to the following conditions of the licence</w:t>
      </w:r>
      <w:r>
        <w:rPr>
          <w:rFonts w:ascii="Arial" w:hAnsi="Arial" w:cs="Arial"/>
        </w:rPr>
        <w:t xml:space="preserve"> are</w:t>
      </w:r>
      <w:r w:rsidR="00C96EC9" w:rsidRPr="00C96EC9">
        <w:rPr>
          <w:rFonts w:ascii="Arial" w:hAnsi="Arial" w:cs="Arial"/>
        </w:rPr>
        <w:t xml:space="preserve">: </w:t>
      </w:r>
    </w:p>
    <w:p w14:paraId="4D77F8C3" w14:textId="4E85E99B" w:rsidR="00C96EC9" w:rsidRDefault="00C96EC9" w:rsidP="00C96EC9">
      <w:pPr>
        <w:ind w:left="720"/>
        <w:rPr>
          <w:rFonts w:ascii="Arial" w:hAnsi="Arial" w:cs="Arial"/>
        </w:rPr>
      </w:pPr>
      <w:r w:rsidRPr="00C96EC9">
        <w:rPr>
          <w:rFonts w:ascii="Arial" w:hAnsi="Arial" w:cs="Arial"/>
        </w:rPr>
        <w:t>1. Condition GS6(3): Providers must certify that their Board has taken all precautions necessary to comply with the licenc</w:t>
      </w:r>
      <w:r w:rsidR="00B27F7A">
        <w:rPr>
          <w:rFonts w:ascii="Arial" w:hAnsi="Arial" w:cs="Arial"/>
        </w:rPr>
        <w:t>e, NHS Act and NHS Constitution by 31</w:t>
      </w:r>
      <w:r w:rsidR="00B27F7A" w:rsidRPr="00B27F7A">
        <w:rPr>
          <w:rFonts w:ascii="Arial" w:hAnsi="Arial" w:cs="Arial"/>
          <w:vertAlign w:val="superscript"/>
        </w:rPr>
        <w:t>st</w:t>
      </w:r>
      <w:r w:rsidR="00B27F7A">
        <w:rPr>
          <w:rFonts w:ascii="Arial" w:hAnsi="Arial" w:cs="Arial"/>
        </w:rPr>
        <w:t xml:space="preserve"> May each year and publish this by 30 June each year.</w:t>
      </w:r>
      <w:r w:rsidRPr="00C96EC9">
        <w:rPr>
          <w:rFonts w:ascii="Arial" w:hAnsi="Arial" w:cs="Arial"/>
        </w:rPr>
        <w:t xml:space="preserve"> </w:t>
      </w:r>
    </w:p>
    <w:p w14:paraId="26E375AF" w14:textId="7644C034" w:rsidR="00C96EC9" w:rsidRDefault="00C96EC9" w:rsidP="00C96EC9">
      <w:pPr>
        <w:ind w:left="720"/>
        <w:rPr>
          <w:rFonts w:ascii="Arial" w:hAnsi="Arial" w:cs="Arial"/>
        </w:rPr>
      </w:pPr>
      <w:r w:rsidRPr="00C96EC9">
        <w:rPr>
          <w:rFonts w:ascii="Arial" w:hAnsi="Arial" w:cs="Arial"/>
        </w:rPr>
        <w:t xml:space="preserve">2. Condition </w:t>
      </w:r>
      <w:proofErr w:type="gramStart"/>
      <w:r w:rsidRPr="00C96EC9">
        <w:rPr>
          <w:rFonts w:ascii="Arial" w:hAnsi="Arial" w:cs="Arial"/>
        </w:rPr>
        <w:t>FT4(</w:t>
      </w:r>
      <w:proofErr w:type="gramEnd"/>
      <w:r w:rsidRPr="00C96EC9">
        <w:rPr>
          <w:rFonts w:ascii="Arial" w:hAnsi="Arial" w:cs="Arial"/>
        </w:rPr>
        <w:t>8): Providers must certify compliance with required gover</w:t>
      </w:r>
      <w:r w:rsidR="00B27F7A">
        <w:rPr>
          <w:rFonts w:ascii="Arial" w:hAnsi="Arial" w:cs="Arial"/>
        </w:rPr>
        <w:t>nance standards and objectives by 30</w:t>
      </w:r>
      <w:r w:rsidR="00B27F7A" w:rsidRPr="00B27F7A">
        <w:rPr>
          <w:rFonts w:ascii="Arial" w:hAnsi="Arial" w:cs="Arial"/>
          <w:vertAlign w:val="superscript"/>
        </w:rPr>
        <w:t>th</w:t>
      </w:r>
      <w:r w:rsidR="00B27F7A">
        <w:rPr>
          <w:rFonts w:ascii="Arial" w:hAnsi="Arial" w:cs="Arial"/>
        </w:rPr>
        <w:t xml:space="preserve"> June each year.</w:t>
      </w:r>
    </w:p>
    <w:p w14:paraId="0460ABF8" w14:textId="4A2B0FC5" w:rsidR="00C96EC9" w:rsidRDefault="00C96EC9" w:rsidP="00C96EC9">
      <w:pPr>
        <w:ind w:left="720"/>
        <w:rPr>
          <w:rFonts w:ascii="Arial" w:hAnsi="Arial" w:cs="Arial"/>
        </w:rPr>
      </w:pPr>
      <w:r w:rsidRPr="00C96EC9">
        <w:rPr>
          <w:rFonts w:ascii="Arial" w:hAnsi="Arial" w:cs="Arial"/>
        </w:rPr>
        <w:t>3. Section 151(5) of the Health and Social Care Act 2012 Training of Governors: Providers must review whether their governors have received enough training and guidance to carry out their roles. It is up</w:t>
      </w:r>
      <w:r w:rsidR="00B27F7A">
        <w:rPr>
          <w:rFonts w:ascii="Arial" w:hAnsi="Arial" w:cs="Arial"/>
        </w:rPr>
        <w:t xml:space="preserve"> to providers how they do this by 30</w:t>
      </w:r>
      <w:r w:rsidR="00B27F7A" w:rsidRPr="00B27F7A">
        <w:rPr>
          <w:rFonts w:ascii="Arial" w:hAnsi="Arial" w:cs="Arial"/>
          <w:vertAlign w:val="superscript"/>
        </w:rPr>
        <w:t>th</w:t>
      </w:r>
      <w:r w:rsidR="00B27F7A">
        <w:rPr>
          <w:rFonts w:ascii="Arial" w:hAnsi="Arial" w:cs="Arial"/>
        </w:rPr>
        <w:t xml:space="preserve"> June each year</w:t>
      </w:r>
    </w:p>
    <w:p w14:paraId="48A5E285" w14:textId="51871D48" w:rsidR="00C96EC9" w:rsidRDefault="00C96EC9" w:rsidP="00C96EC9">
      <w:pPr>
        <w:ind w:left="720"/>
        <w:rPr>
          <w:rFonts w:ascii="Arial" w:hAnsi="Arial" w:cs="Arial"/>
        </w:rPr>
      </w:pPr>
      <w:r w:rsidRPr="00C96EC9">
        <w:rPr>
          <w:rFonts w:ascii="Arial" w:hAnsi="Arial" w:cs="Arial"/>
        </w:rPr>
        <w:t xml:space="preserve">4. Conditions to support continuity of service (CoS7): Allows NHSE to assess whether there is a risk to services and to set out how services will be protected if a provider </w:t>
      </w:r>
      <w:r w:rsidR="00B27F7A">
        <w:rPr>
          <w:rFonts w:ascii="Arial" w:hAnsi="Arial" w:cs="Arial"/>
        </w:rPr>
        <w:t>gets into financial difficulty by 31</w:t>
      </w:r>
      <w:r w:rsidR="00B27F7A" w:rsidRPr="00B27F7A">
        <w:rPr>
          <w:rFonts w:ascii="Arial" w:hAnsi="Arial" w:cs="Arial"/>
          <w:vertAlign w:val="superscript"/>
        </w:rPr>
        <w:t>st</w:t>
      </w:r>
      <w:r w:rsidR="00B27F7A">
        <w:rPr>
          <w:rFonts w:ascii="Arial" w:hAnsi="Arial" w:cs="Arial"/>
        </w:rPr>
        <w:t xml:space="preserve"> May each year.</w:t>
      </w:r>
    </w:p>
    <w:p w14:paraId="7503426C" w14:textId="14EBAE0A" w:rsidR="00C96EC9" w:rsidRDefault="00C96EC9" w:rsidP="00C96EC9">
      <w:pPr>
        <w:ind w:left="720"/>
        <w:rPr>
          <w:rFonts w:ascii="Arial" w:hAnsi="Arial" w:cs="Arial"/>
        </w:rPr>
      </w:pPr>
      <w:r w:rsidRPr="00C96EC9">
        <w:rPr>
          <w:rFonts w:ascii="Arial" w:hAnsi="Arial" w:cs="Arial"/>
        </w:rPr>
        <w:t>As reported to the</w:t>
      </w:r>
      <w:r>
        <w:rPr>
          <w:rFonts w:ascii="Arial" w:hAnsi="Arial" w:cs="Arial"/>
        </w:rPr>
        <w:t xml:space="preserve"> Audit Committee and</w:t>
      </w:r>
      <w:r w:rsidRPr="00C96EC9">
        <w:rPr>
          <w:rFonts w:ascii="Arial" w:hAnsi="Arial" w:cs="Arial"/>
        </w:rPr>
        <w:t xml:space="preserve"> Board of Directors in 2023, the Guidance on Good Governance and Collaboration was enacted by NHSE in October 2022. Therefore the Trust is also required to review its compliance in relation to this guidance for </w:t>
      </w:r>
      <w:r w:rsidR="00226ADE">
        <w:rPr>
          <w:rFonts w:ascii="Arial" w:hAnsi="Arial" w:cs="Arial"/>
        </w:rPr>
        <w:t>2024-25</w:t>
      </w:r>
      <w:r w:rsidRPr="00C96EC9">
        <w:rPr>
          <w:rFonts w:ascii="Arial" w:hAnsi="Arial" w:cs="Arial"/>
        </w:rPr>
        <w:t xml:space="preserve"> </w:t>
      </w:r>
    </w:p>
    <w:p w14:paraId="6348A20F" w14:textId="77777777" w:rsidR="00C96EC9" w:rsidRDefault="00C96EC9" w:rsidP="00C96EC9">
      <w:pPr>
        <w:ind w:left="720"/>
        <w:rPr>
          <w:rFonts w:ascii="Arial" w:hAnsi="Arial" w:cs="Arial"/>
        </w:rPr>
      </w:pPr>
      <w:r w:rsidRPr="00C96EC9">
        <w:rPr>
          <w:rFonts w:ascii="Arial" w:hAnsi="Arial" w:cs="Arial"/>
        </w:rPr>
        <w:t xml:space="preserve">The key characteristics and illustrative minimum behaviours and KLOEs have been added to the template the Trust has in place for seeking compliance with the Provider Licence (under condition FT4). </w:t>
      </w:r>
    </w:p>
    <w:p w14:paraId="3D53020F" w14:textId="77777777" w:rsidR="00C96EC9" w:rsidRDefault="00C96EC9" w:rsidP="00C96EC9">
      <w:pPr>
        <w:ind w:left="720"/>
        <w:rPr>
          <w:rFonts w:ascii="Arial" w:hAnsi="Arial" w:cs="Arial"/>
        </w:rPr>
      </w:pPr>
      <w:r w:rsidRPr="00C96EC9">
        <w:rPr>
          <w:rFonts w:ascii="Arial" w:hAnsi="Arial" w:cs="Arial"/>
        </w:rPr>
        <w:t xml:space="preserve">The Executive Lead is identified as the </w:t>
      </w:r>
      <w:r>
        <w:rPr>
          <w:rFonts w:ascii="Arial" w:hAnsi="Arial" w:cs="Arial"/>
        </w:rPr>
        <w:t xml:space="preserve">Chief Executive Officer, supported by his Executive Directors and the Associate Director of Quality and Corporate Affairs </w:t>
      </w:r>
      <w:r>
        <w:rPr>
          <w:rFonts w:ascii="Arial" w:hAnsi="Arial" w:cs="Arial"/>
          <w:i/>
        </w:rPr>
        <w:t>(company secretary).</w:t>
      </w:r>
      <w:r w:rsidRPr="00C96EC9">
        <w:rPr>
          <w:rFonts w:ascii="Arial" w:hAnsi="Arial" w:cs="Arial"/>
        </w:rPr>
        <w:t xml:space="preserve"> </w:t>
      </w:r>
    </w:p>
    <w:p w14:paraId="47AF4D09" w14:textId="3E713607" w:rsidR="00C96EC9" w:rsidRDefault="00C96EC9" w:rsidP="00C96EC9">
      <w:pPr>
        <w:ind w:left="720"/>
        <w:rPr>
          <w:rFonts w:ascii="Arial" w:hAnsi="Arial" w:cs="Arial"/>
        </w:rPr>
      </w:pPr>
      <w:r w:rsidRPr="00C96EC9">
        <w:rPr>
          <w:rFonts w:ascii="Arial" w:hAnsi="Arial" w:cs="Arial"/>
        </w:rPr>
        <w:t>This paper provides a summary of the Provider Licence, the contextual information and sources o</w:t>
      </w:r>
      <w:r>
        <w:rPr>
          <w:rFonts w:ascii="Arial" w:hAnsi="Arial" w:cs="Arial"/>
        </w:rPr>
        <w:t>f</w:t>
      </w:r>
      <w:r w:rsidRPr="00C96EC9">
        <w:rPr>
          <w:rFonts w:ascii="Arial" w:hAnsi="Arial" w:cs="Arial"/>
        </w:rPr>
        <w:t xml:space="preserve"> assurance. </w:t>
      </w:r>
    </w:p>
    <w:p w14:paraId="4E47BB48" w14:textId="77777777" w:rsidR="00C96EC9" w:rsidRDefault="00C96EC9" w:rsidP="00C96EC9">
      <w:pPr>
        <w:ind w:left="720"/>
        <w:rPr>
          <w:rFonts w:ascii="Arial" w:hAnsi="Arial" w:cs="Arial"/>
        </w:rPr>
      </w:pPr>
      <w:r w:rsidRPr="00C96EC9">
        <w:rPr>
          <w:rFonts w:ascii="Arial" w:hAnsi="Arial" w:cs="Arial"/>
        </w:rPr>
        <w:t>These docume</w:t>
      </w:r>
      <w:r>
        <w:rPr>
          <w:rFonts w:ascii="Arial" w:hAnsi="Arial" w:cs="Arial"/>
        </w:rPr>
        <w:t xml:space="preserve">nts are presented as follows: </w:t>
      </w:r>
    </w:p>
    <w:p w14:paraId="25BC7295" w14:textId="408D370F" w:rsidR="00C96EC9" w:rsidRDefault="00C96EC9" w:rsidP="00C96EC9">
      <w:pPr>
        <w:pStyle w:val="ListParagraph"/>
        <w:numPr>
          <w:ilvl w:val="0"/>
          <w:numId w:val="42"/>
        </w:numPr>
        <w:rPr>
          <w:rFonts w:ascii="Arial" w:hAnsi="Arial" w:cs="Arial"/>
        </w:rPr>
      </w:pPr>
      <w:r>
        <w:rPr>
          <w:rFonts w:ascii="Arial" w:hAnsi="Arial" w:cs="Arial"/>
        </w:rPr>
        <w:t>HDFT</w:t>
      </w:r>
      <w:r w:rsidRPr="00C96EC9">
        <w:rPr>
          <w:rFonts w:ascii="Arial" w:hAnsi="Arial" w:cs="Arial"/>
        </w:rPr>
        <w:t xml:space="preserve"> self-assessment of compliance with the Provider Licence Conditions (including the information required with regard to Good Governance an</w:t>
      </w:r>
      <w:r>
        <w:rPr>
          <w:rFonts w:ascii="Arial" w:hAnsi="Arial" w:cs="Arial"/>
        </w:rPr>
        <w:t>d Collaboration) (</w:t>
      </w:r>
      <w:r w:rsidR="00B27F7A">
        <w:rPr>
          <w:rFonts w:ascii="Arial" w:hAnsi="Arial" w:cs="Arial"/>
        </w:rPr>
        <w:t>Section 2 of this report and Appendix 1</w:t>
      </w:r>
      <w:r>
        <w:rPr>
          <w:rFonts w:ascii="Arial" w:hAnsi="Arial" w:cs="Arial"/>
        </w:rPr>
        <w:t xml:space="preserve">) </w:t>
      </w:r>
    </w:p>
    <w:p w14:paraId="1481ED0A" w14:textId="49A329B3" w:rsidR="00C96EC9" w:rsidRDefault="00C96EC9" w:rsidP="00C96EC9">
      <w:pPr>
        <w:pStyle w:val="ListParagraph"/>
        <w:numPr>
          <w:ilvl w:val="0"/>
          <w:numId w:val="42"/>
        </w:numPr>
        <w:rPr>
          <w:rFonts w:ascii="Arial" w:hAnsi="Arial" w:cs="Arial"/>
        </w:rPr>
      </w:pPr>
      <w:r w:rsidRPr="00C96EC9">
        <w:rPr>
          <w:rFonts w:ascii="Arial" w:hAnsi="Arial" w:cs="Arial"/>
        </w:rPr>
        <w:t>Statements required to be confirmed by the Board and publi</w:t>
      </w:r>
      <w:r w:rsidR="0048304B">
        <w:rPr>
          <w:rFonts w:ascii="Arial" w:hAnsi="Arial" w:cs="Arial"/>
        </w:rPr>
        <w:t>shed by the Trust (Appendix 2</w:t>
      </w:r>
      <w:r>
        <w:rPr>
          <w:rFonts w:ascii="Arial" w:hAnsi="Arial" w:cs="Arial"/>
        </w:rPr>
        <w:t xml:space="preserve">) </w:t>
      </w:r>
    </w:p>
    <w:p w14:paraId="09C13426" w14:textId="17B33CB2" w:rsidR="00C96EC9" w:rsidRDefault="00C96EC9" w:rsidP="00C96EC9">
      <w:pPr>
        <w:ind w:left="720"/>
        <w:rPr>
          <w:rFonts w:ascii="Arial" w:hAnsi="Arial" w:cs="Arial"/>
        </w:rPr>
      </w:pPr>
      <w:r>
        <w:rPr>
          <w:rFonts w:ascii="Arial" w:hAnsi="Arial" w:cs="Arial"/>
        </w:rPr>
        <w:lastRenderedPageBreak/>
        <w:t>T</w:t>
      </w:r>
      <w:r w:rsidRPr="00C96EC9">
        <w:rPr>
          <w:rFonts w:ascii="Arial" w:hAnsi="Arial" w:cs="Arial"/>
        </w:rPr>
        <w:t xml:space="preserve">he Board will be required to provide a specific declaration with regard to Condition </w:t>
      </w:r>
      <w:proofErr w:type="gramStart"/>
      <w:r w:rsidRPr="00C96EC9">
        <w:rPr>
          <w:rFonts w:ascii="Arial" w:hAnsi="Arial" w:cs="Arial"/>
        </w:rPr>
        <w:t>FT4(</w:t>
      </w:r>
      <w:proofErr w:type="gramEnd"/>
      <w:r w:rsidRPr="00C96EC9">
        <w:rPr>
          <w:rFonts w:ascii="Arial" w:hAnsi="Arial" w:cs="Arial"/>
        </w:rPr>
        <w:t xml:space="preserve">8) of the provider licence in the form of </w:t>
      </w:r>
      <w:r w:rsidR="00B27F7A">
        <w:rPr>
          <w:rFonts w:ascii="Arial" w:hAnsi="Arial" w:cs="Arial"/>
        </w:rPr>
        <w:t>the annual report</w:t>
      </w:r>
      <w:r w:rsidRPr="00C96EC9">
        <w:rPr>
          <w:rFonts w:ascii="Arial" w:hAnsi="Arial" w:cs="Arial"/>
        </w:rPr>
        <w:t xml:space="preserve">. To support the self-certification against Condition FT4(8), the Board of Directors will be required to certify that they are satisfied with the risks and mitigating actions against each area listed. </w:t>
      </w:r>
    </w:p>
    <w:p w14:paraId="3F632EE9" w14:textId="0DEBBB0D" w:rsidR="00C96EC9" w:rsidRDefault="00C96EC9" w:rsidP="00C96EC9">
      <w:pPr>
        <w:ind w:left="720"/>
        <w:rPr>
          <w:rFonts w:ascii="Arial" w:hAnsi="Arial" w:cs="Arial"/>
        </w:rPr>
      </w:pPr>
      <w:r w:rsidRPr="00C96EC9">
        <w:rPr>
          <w:rFonts w:ascii="Arial" w:hAnsi="Arial" w:cs="Arial"/>
        </w:rPr>
        <w:t xml:space="preserve">The </w:t>
      </w:r>
      <w:r w:rsidR="00B27F7A">
        <w:rPr>
          <w:rFonts w:ascii="Arial" w:hAnsi="Arial" w:cs="Arial"/>
        </w:rPr>
        <w:t xml:space="preserve">Annual Report </w:t>
      </w:r>
      <w:r w:rsidRPr="00C96EC9">
        <w:rPr>
          <w:rFonts w:ascii="Arial" w:hAnsi="Arial" w:cs="Arial"/>
        </w:rPr>
        <w:t xml:space="preserve">will be presented to </w:t>
      </w:r>
      <w:r>
        <w:rPr>
          <w:rFonts w:ascii="Arial" w:hAnsi="Arial" w:cs="Arial"/>
        </w:rPr>
        <w:t xml:space="preserve">the Executive Management Team for </w:t>
      </w:r>
      <w:r w:rsidRPr="00C96EC9">
        <w:rPr>
          <w:rFonts w:ascii="Arial" w:hAnsi="Arial" w:cs="Arial"/>
        </w:rPr>
        <w:t>sign-off</w:t>
      </w:r>
      <w:r>
        <w:rPr>
          <w:rFonts w:ascii="Arial" w:hAnsi="Arial" w:cs="Arial"/>
        </w:rPr>
        <w:t xml:space="preserve"> prior to final submi</w:t>
      </w:r>
      <w:r w:rsidR="00226ADE">
        <w:rPr>
          <w:rFonts w:ascii="Arial" w:hAnsi="Arial" w:cs="Arial"/>
        </w:rPr>
        <w:t>ssion to the Board for approval in June 2025.</w:t>
      </w:r>
    </w:p>
    <w:p w14:paraId="16E8AF62" w14:textId="1EE3C2C7" w:rsidR="00B27F7A" w:rsidRDefault="00B27F7A" w:rsidP="00B27F7A">
      <w:pPr>
        <w:rPr>
          <w:rFonts w:ascii="Arial" w:hAnsi="Arial" w:cs="Arial"/>
          <w:b/>
        </w:rPr>
      </w:pPr>
      <w:r>
        <w:rPr>
          <w:rFonts w:ascii="Arial" w:hAnsi="Arial" w:cs="Arial"/>
          <w:b/>
        </w:rPr>
        <w:t>2.0</w:t>
      </w:r>
      <w:r w:rsidR="000E4F81">
        <w:rPr>
          <w:rFonts w:ascii="Arial" w:hAnsi="Arial" w:cs="Arial"/>
          <w:b/>
        </w:rPr>
        <w:tab/>
      </w:r>
      <w:r>
        <w:rPr>
          <w:rFonts w:ascii="Arial" w:hAnsi="Arial" w:cs="Arial"/>
          <w:b/>
        </w:rPr>
        <w:t>SELF-CERTIFICATION</w:t>
      </w:r>
    </w:p>
    <w:p w14:paraId="72DA4706" w14:textId="77777777" w:rsidR="000E4F81" w:rsidRDefault="00B27F7A" w:rsidP="000E4F81">
      <w:pPr>
        <w:ind w:left="720"/>
        <w:rPr>
          <w:rFonts w:ascii="Arial" w:hAnsi="Arial" w:cs="Arial"/>
        </w:rPr>
      </w:pPr>
      <w:r w:rsidRPr="000E4F81">
        <w:rPr>
          <w:rFonts w:ascii="Arial" w:hAnsi="Arial" w:cs="Arial"/>
          <w:b/>
        </w:rPr>
        <w:t xml:space="preserve">Condition </w:t>
      </w:r>
      <w:proofErr w:type="gramStart"/>
      <w:r w:rsidRPr="000E4F81">
        <w:rPr>
          <w:rFonts w:ascii="Arial" w:hAnsi="Arial" w:cs="Arial"/>
          <w:b/>
        </w:rPr>
        <w:t>GS6(</w:t>
      </w:r>
      <w:proofErr w:type="gramEnd"/>
      <w:r w:rsidRPr="000E4F81">
        <w:rPr>
          <w:rFonts w:ascii="Arial" w:hAnsi="Arial" w:cs="Arial"/>
          <w:b/>
        </w:rPr>
        <w:t>3) Providers must certify that their Board has taken all precautions necessary to comply with the licence, NHS Act and NHS Constitution</w:t>
      </w:r>
      <w:r w:rsidRPr="00B27F7A">
        <w:rPr>
          <w:rFonts w:ascii="Arial" w:hAnsi="Arial" w:cs="Arial"/>
        </w:rPr>
        <w:t xml:space="preserve"> </w:t>
      </w:r>
    </w:p>
    <w:p w14:paraId="77305339" w14:textId="4DECDBED" w:rsidR="000E4F81" w:rsidRDefault="00B27F7A" w:rsidP="000E4F81">
      <w:pPr>
        <w:ind w:left="720"/>
        <w:rPr>
          <w:rFonts w:ascii="Arial" w:hAnsi="Arial" w:cs="Arial"/>
        </w:rPr>
      </w:pPr>
      <w:r w:rsidRPr="00B27F7A">
        <w:rPr>
          <w:rFonts w:ascii="Arial" w:hAnsi="Arial" w:cs="Arial"/>
        </w:rPr>
        <w:t xml:space="preserve">From the assurance provided the Trust Board of Directors is required to certify that it “is satisfied that, during the financial year most recently ended, it has taken all precautions necessary to comply with the licence, </w:t>
      </w:r>
      <w:r w:rsidR="000E4F81">
        <w:rPr>
          <w:rFonts w:ascii="Arial" w:hAnsi="Arial" w:cs="Arial"/>
        </w:rPr>
        <w:t xml:space="preserve">NHS Act and NHS Constitution.” </w:t>
      </w:r>
    </w:p>
    <w:p w14:paraId="12BDF661" w14:textId="60271D22" w:rsidR="000E4F81" w:rsidRPr="000E4F81" w:rsidRDefault="000E4F81" w:rsidP="000E4F81">
      <w:pPr>
        <w:ind w:left="720"/>
        <w:rPr>
          <w:rFonts w:ascii="Arial" w:hAnsi="Arial" w:cs="Arial"/>
          <w:b/>
        </w:rPr>
      </w:pPr>
      <w:r>
        <w:rPr>
          <w:rFonts w:ascii="Arial" w:hAnsi="Arial" w:cs="Arial"/>
        </w:rPr>
        <w:t xml:space="preserve">It is recommended as outlined in Appendix 1 that this is certified as </w:t>
      </w:r>
      <w:r>
        <w:rPr>
          <w:rFonts w:ascii="Arial" w:hAnsi="Arial" w:cs="Arial"/>
          <w:b/>
        </w:rPr>
        <w:t>Co</w:t>
      </w:r>
      <w:r w:rsidR="00526BE8">
        <w:rPr>
          <w:rFonts w:ascii="Arial" w:hAnsi="Arial" w:cs="Arial"/>
          <w:b/>
        </w:rPr>
        <w:t>nfirmed</w:t>
      </w:r>
    </w:p>
    <w:p w14:paraId="7ABFEDC2" w14:textId="77777777" w:rsidR="000E4F81" w:rsidRDefault="00B27F7A" w:rsidP="000E4F81">
      <w:pPr>
        <w:ind w:left="720"/>
        <w:rPr>
          <w:rFonts w:ascii="Arial" w:hAnsi="Arial" w:cs="Arial"/>
        </w:rPr>
      </w:pPr>
      <w:r w:rsidRPr="000E4F81">
        <w:rPr>
          <w:rFonts w:ascii="Arial" w:hAnsi="Arial" w:cs="Arial"/>
          <w:b/>
        </w:rPr>
        <w:t>Conditions to support continuity of service (CoS7)</w:t>
      </w:r>
      <w:r w:rsidRPr="00B27F7A">
        <w:rPr>
          <w:rFonts w:ascii="Arial" w:hAnsi="Arial" w:cs="Arial"/>
        </w:rPr>
        <w:t xml:space="preserve"> </w:t>
      </w:r>
    </w:p>
    <w:p w14:paraId="6B023BF1" w14:textId="77777777" w:rsidR="000E4F81" w:rsidRDefault="00B27F7A" w:rsidP="000E4F81">
      <w:pPr>
        <w:ind w:left="720"/>
        <w:rPr>
          <w:rFonts w:ascii="Arial" w:hAnsi="Arial" w:cs="Arial"/>
        </w:rPr>
      </w:pPr>
      <w:r w:rsidRPr="00B27F7A">
        <w:rPr>
          <w:rFonts w:ascii="Arial" w:hAnsi="Arial" w:cs="Arial"/>
        </w:rPr>
        <w:t>“After making enquiries the Directors of the Licensee have a reasonable expectation, subject to what is explained below, that the Licensee will have the Required Resources available to it after taking into account in particular (but without limitation) any distribution which might reasonably be expected to be declared or paid for the period of 12 months referred to in this certificate. However, they would like to draw attention to the following factors (as described in the text box below) which may cast doubt on the ability of the Licensee to provide Commissioner Requested Services.” NB This declaration depends on the outcome of the financial planning process, therefore further information will be added in relation to the relevant factors o</w:t>
      </w:r>
      <w:r w:rsidR="000E4F81">
        <w:rPr>
          <w:rFonts w:ascii="Arial" w:hAnsi="Arial" w:cs="Arial"/>
        </w:rPr>
        <w:t xml:space="preserve">nce that process is complete. </w:t>
      </w:r>
    </w:p>
    <w:p w14:paraId="64C0AC6C" w14:textId="14108036" w:rsidR="000E4F81" w:rsidRPr="000E4F81" w:rsidRDefault="000E4F81" w:rsidP="000E4F81">
      <w:pPr>
        <w:ind w:left="720"/>
        <w:rPr>
          <w:rFonts w:ascii="Arial" w:hAnsi="Arial" w:cs="Arial"/>
          <w:b/>
        </w:rPr>
      </w:pPr>
      <w:r>
        <w:rPr>
          <w:rFonts w:ascii="Arial" w:hAnsi="Arial" w:cs="Arial"/>
        </w:rPr>
        <w:t xml:space="preserve">It is recommended as outlined in Appendix 1 that this is certified as </w:t>
      </w:r>
      <w:r>
        <w:rPr>
          <w:rFonts w:ascii="Arial" w:hAnsi="Arial" w:cs="Arial"/>
          <w:b/>
        </w:rPr>
        <w:t>Co</w:t>
      </w:r>
      <w:r w:rsidR="00526BE8">
        <w:rPr>
          <w:rFonts w:ascii="Arial" w:hAnsi="Arial" w:cs="Arial"/>
          <w:b/>
        </w:rPr>
        <w:t>nfirmed</w:t>
      </w:r>
    </w:p>
    <w:p w14:paraId="641797FE" w14:textId="5763E26B" w:rsidR="000E4F81" w:rsidRDefault="00B27F7A" w:rsidP="000E4F81">
      <w:pPr>
        <w:ind w:left="720"/>
        <w:rPr>
          <w:rFonts w:ascii="Arial" w:hAnsi="Arial" w:cs="Arial"/>
        </w:rPr>
      </w:pPr>
      <w:r w:rsidRPr="000E4F81">
        <w:rPr>
          <w:rFonts w:ascii="Arial" w:hAnsi="Arial" w:cs="Arial"/>
          <w:b/>
        </w:rPr>
        <w:t xml:space="preserve">Section 151(5) of the Health and Social Care Act 2012 Training of Governors </w:t>
      </w:r>
    </w:p>
    <w:p w14:paraId="6179498C" w14:textId="387E65E3" w:rsidR="00B27F7A" w:rsidRPr="00B27F7A" w:rsidRDefault="00B27F7A" w:rsidP="000E4F81">
      <w:pPr>
        <w:ind w:left="720"/>
        <w:rPr>
          <w:rFonts w:ascii="Arial" w:hAnsi="Arial" w:cs="Arial"/>
          <w:b/>
        </w:rPr>
      </w:pPr>
      <w:r w:rsidRPr="00B27F7A">
        <w:rPr>
          <w:rFonts w:ascii="Arial" w:hAnsi="Arial" w:cs="Arial"/>
        </w:rPr>
        <w:t>From the assurance provided the Trust Board is required to certify that it “is satisfied that, during the financial year most recently ended, the Trust has provided necessary training to its governors, as required by S151(5) of the Health and Social Care Act, to ensure they are equipped with the skills and knowledge they need to undertake their role.”</w:t>
      </w:r>
    </w:p>
    <w:p w14:paraId="33DD260E" w14:textId="02141485" w:rsidR="000E4F81" w:rsidRPr="000E4F81" w:rsidRDefault="000E4F81" w:rsidP="000E4F81">
      <w:pPr>
        <w:ind w:left="720"/>
        <w:rPr>
          <w:rFonts w:ascii="Arial" w:hAnsi="Arial" w:cs="Arial"/>
          <w:b/>
        </w:rPr>
      </w:pPr>
      <w:r>
        <w:rPr>
          <w:rFonts w:ascii="Arial" w:hAnsi="Arial" w:cs="Arial"/>
        </w:rPr>
        <w:t xml:space="preserve">It is recommended as outlined in Appendix 1 that this is certified as </w:t>
      </w:r>
      <w:r>
        <w:rPr>
          <w:rFonts w:ascii="Arial" w:hAnsi="Arial" w:cs="Arial"/>
          <w:b/>
        </w:rPr>
        <w:t>Co</w:t>
      </w:r>
      <w:r w:rsidR="00526BE8">
        <w:rPr>
          <w:rFonts w:ascii="Arial" w:hAnsi="Arial" w:cs="Arial"/>
          <w:b/>
        </w:rPr>
        <w:t>nfirmed</w:t>
      </w:r>
    </w:p>
    <w:p w14:paraId="2634A5A0" w14:textId="58621802" w:rsidR="00B27F7A" w:rsidRPr="000E4F81" w:rsidRDefault="000E4F81" w:rsidP="000E4F81">
      <w:pPr>
        <w:ind w:left="720"/>
        <w:rPr>
          <w:rFonts w:ascii="Arial" w:hAnsi="Arial" w:cs="Arial"/>
          <w:b/>
        </w:rPr>
      </w:pPr>
      <w:r w:rsidRPr="000E4F81">
        <w:rPr>
          <w:rFonts w:ascii="Arial" w:hAnsi="Arial" w:cs="Arial"/>
          <w:b/>
        </w:rPr>
        <w:t xml:space="preserve">Condition </w:t>
      </w:r>
      <w:proofErr w:type="gramStart"/>
      <w:r w:rsidRPr="000E4F81">
        <w:rPr>
          <w:rFonts w:ascii="Arial" w:hAnsi="Arial" w:cs="Arial"/>
          <w:b/>
        </w:rPr>
        <w:t>FT4(</w:t>
      </w:r>
      <w:proofErr w:type="gramEnd"/>
      <w:r w:rsidRPr="000E4F81">
        <w:rPr>
          <w:rFonts w:ascii="Arial" w:hAnsi="Arial" w:cs="Arial"/>
          <w:b/>
        </w:rPr>
        <w:t>8): Providers must certify compliance with required governance standards and objectives by 30</w:t>
      </w:r>
      <w:r w:rsidRPr="000E4F81">
        <w:rPr>
          <w:rFonts w:ascii="Arial" w:hAnsi="Arial" w:cs="Arial"/>
          <w:b/>
          <w:vertAlign w:val="superscript"/>
        </w:rPr>
        <w:t>th</w:t>
      </w:r>
      <w:r w:rsidRPr="000E4F81">
        <w:rPr>
          <w:rFonts w:ascii="Arial" w:hAnsi="Arial" w:cs="Arial"/>
          <w:b/>
        </w:rPr>
        <w:t xml:space="preserve"> June each year.</w:t>
      </w:r>
    </w:p>
    <w:p w14:paraId="35628D66" w14:textId="7B2EEBCF" w:rsidR="00B27F7A" w:rsidRDefault="000E4F81" w:rsidP="00C96EC9">
      <w:pPr>
        <w:ind w:left="720"/>
        <w:rPr>
          <w:rFonts w:ascii="Arial" w:hAnsi="Arial" w:cs="Arial"/>
          <w:b/>
        </w:rPr>
      </w:pPr>
      <w:r>
        <w:rPr>
          <w:rFonts w:ascii="Arial" w:hAnsi="Arial" w:cs="Arial"/>
        </w:rPr>
        <w:t xml:space="preserve">Is subject to the above, and it is recommended that this is certified as </w:t>
      </w:r>
      <w:r>
        <w:rPr>
          <w:rFonts w:ascii="Arial" w:hAnsi="Arial" w:cs="Arial"/>
          <w:b/>
        </w:rPr>
        <w:t>Co</w:t>
      </w:r>
      <w:r w:rsidR="00526BE8">
        <w:rPr>
          <w:rFonts w:ascii="Arial" w:hAnsi="Arial" w:cs="Arial"/>
          <w:b/>
        </w:rPr>
        <w:t>nfirmed</w:t>
      </w:r>
    </w:p>
    <w:p w14:paraId="1DF22AAC" w14:textId="09E0A435" w:rsidR="000E4F81" w:rsidRDefault="000E4F81" w:rsidP="000E4F81">
      <w:pPr>
        <w:rPr>
          <w:rFonts w:ascii="Arial" w:hAnsi="Arial" w:cs="Arial"/>
          <w:b/>
        </w:rPr>
      </w:pPr>
      <w:r>
        <w:rPr>
          <w:rFonts w:ascii="Arial" w:hAnsi="Arial" w:cs="Arial"/>
          <w:b/>
        </w:rPr>
        <w:t>3.0</w:t>
      </w:r>
      <w:r>
        <w:rPr>
          <w:rFonts w:ascii="Arial" w:hAnsi="Arial" w:cs="Arial"/>
          <w:b/>
        </w:rPr>
        <w:tab/>
        <w:t>RECOMMENDATIONS</w:t>
      </w:r>
    </w:p>
    <w:p w14:paraId="0A0846E5" w14:textId="69F5C810" w:rsidR="000E4F81" w:rsidRDefault="000E4F81" w:rsidP="000E4F81">
      <w:pPr>
        <w:rPr>
          <w:rFonts w:ascii="Arial" w:hAnsi="Arial" w:cs="Arial"/>
        </w:rPr>
      </w:pPr>
      <w:r>
        <w:rPr>
          <w:rFonts w:ascii="Arial" w:hAnsi="Arial" w:cs="Arial"/>
          <w:b/>
        </w:rPr>
        <w:tab/>
      </w:r>
      <w:r>
        <w:rPr>
          <w:rFonts w:ascii="Arial" w:hAnsi="Arial" w:cs="Arial"/>
        </w:rPr>
        <w:t>The</w:t>
      </w:r>
      <w:r w:rsidR="00ED43DB">
        <w:rPr>
          <w:rFonts w:ascii="Arial" w:hAnsi="Arial" w:cs="Arial"/>
        </w:rPr>
        <w:t xml:space="preserve"> Board</w:t>
      </w:r>
      <w:r>
        <w:rPr>
          <w:rFonts w:ascii="Arial" w:hAnsi="Arial" w:cs="Arial"/>
        </w:rPr>
        <w:t xml:space="preserve"> is recommended to:</w:t>
      </w:r>
    </w:p>
    <w:p w14:paraId="301021A8" w14:textId="57E92E62" w:rsidR="000E4F81" w:rsidRPr="000E4F81" w:rsidRDefault="000E4F81" w:rsidP="000E4F81">
      <w:pPr>
        <w:pStyle w:val="ListParagraph"/>
        <w:numPr>
          <w:ilvl w:val="0"/>
          <w:numId w:val="43"/>
        </w:numPr>
        <w:rPr>
          <w:rFonts w:ascii="Arial" w:hAnsi="Arial" w:cs="Arial"/>
        </w:rPr>
      </w:pPr>
      <w:r>
        <w:rPr>
          <w:rFonts w:ascii="Arial" w:hAnsi="Arial" w:cs="Arial"/>
        </w:rPr>
        <w:t>Confirm approval of the self-</w:t>
      </w:r>
      <w:r w:rsidR="00526BE8">
        <w:rPr>
          <w:rFonts w:ascii="Arial" w:hAnsi="Arial" w:cs="Arial"/>
        </w:rPr>
        <w:t>certification</w:t>
      </w:r>
      <w:r>
        <w:rPr>
          <w:rFonts w:ascii="Arial" w:hAnsi="Arial" w:cs="Arial"/>
        </w:rPr>
        <w:t xml:space="preserve"> as outline in Section 2 of this report</w:t>
      </w:r>
      <w:r w:rsidR="0048304B">
        <w:rPr>
          <w:rFonts w:ascii="Arial" w:hAnsi="Arial" w:cs="Arial"/>
        </w:rPr>
        <w:t xml:space="preserve"> and in Appendix 1</w:t>
      </w:r>
    </w:p>
    <w:p w14:paraId="301D20F2" w14:textId="0B06074B" w:rsidR="000E4F81" w:rsidRDefault="00526BE8" w:rsidP="00C96EC9">
      <w:pPr>
        <w:ind w:left="720"/>
        <w:rPr>
          <w:rFonts w:ascii="Arial" w:hAnsi="Arial" w:cs="Arial"/>
          <w:b/>
        </w:rPr>
      </w:pPr>
      <w:r>
        <w:rPr>
          <w:rFonts w:ascii="Arial" w:hAnsi="Arial" w:cs="Arial"/>
          <w:b/>
        </w:rPr>
        <w:t>Kate Southgate</w:t>
      </w:r>
    </w:p>
    <w:p w14:paraId="015277D4" w14:textId="7913A397" w:rsidR="00526BE8" w:rsidRDefault="00526BE8" w:rsidP="00C96EC9">
      <w:pPr>
        <w:ind w:left="720"/>
        <w:rPr>
          <w:rFonts w:ascii="Arial" w:hAnsi="Arial" w:cs="Arial"/>
          <w:b/>
        </w:rPr>
      </w:pPr>
      <w:r>
        <w:rPr>
          <w:rFonts w:ascii="Arial" w:hAnsi="Arial" w:cs="Arial"/>
          <w:b/>
        </w:rPr>
        <w:t>Associate Director of Quality &amp; Corporate Affairs</w:t>
      </w:r>
    </w:p>
    <w:p w14:paraId="0177C781" w14:textId="7CFF7AB4" w:rsidR="00526BE8" w:rsidRPr="00526BE8" w:rsidRDefault="00226ADE" w:rsidP="00C96EC9">
      <w:pPr>
        <w:ind w:left="720"/>
        <w:rPr>
          <w:rFonts w:ascii="Arial" w:hAnsi="Arial" w:cs="Arial"/>
          <w:b/>
        </w:rPr>
        <w:sectPr w:rsidR="00526BE8" w:rsidRPr="00526BE8" w:rsidSect="00E749CA">
          <w:headerReference w:type="default" r:id="rId8"/>
          <w:footerReference w:type="default" r:id="rId9"/>
          <w:pgSz w:w="11906" w:h="16838" w:code="9"/>
          <w:pgMar w:top="1440" w:right="1134" w:bottom="1440" w:left="1134" w:header="709" w:footer="709" w:gutter="0"/>
          <w:cols w:space="708"/>
          <w:docGrid w:linePitch="360"/>
        </w:sectPr>
      </w:pPr>
      <w:r>
        <w:rPr>
          <w:rFonts w:ascii="Arial" w:hAnsi="Arial" w:cs="Arial"/>
          <w:b/>
        </w:rPr>
        <w:t>May 2025</w:t>
      </w:r>
    </w:p>
    <w:p w14:paraId="11B05D4F" w14:textId="3F23FE41" w:rsidR="00B27F7A" w:rsidRDefault="00B27F7A" w:rsidP="00C96EC9">
      <w:pPr>
        <w:ind w:left="720"/>
        <w:rPr>
          <w:rFonts w:ascii="Arial" w:hAnsi="Arial" w:cs="Arial"/>
          <w:b/>
        </w:rPr>
      </w:pPr>
      <w:r>
        <w:rPr>
          <w:rFonts w:ascii="Arial" w:hAnsi="Arial" w:cs="Arial"/>
          <w:b/>
        </w:rPr>
        <w:lastRenderedPageBreak/>
        <w:t xml:space="preserve">Appendix 1 – Self Certification </w:t>
      </w:r>
    </w:p>
    <w:tbl>
      <w:tblPr>
        <w:tblStyle w:val="TableGrid"/>
        <w:tblW w:w="14283" w:type="dxa"/>
        <w:tblLook w:val="04A0" w:firstRow="1" w:lastRow="0" w:firstColumn="1" w:lastColumn="0" w:noHBand="0" w:noVBand="1"/>
      </w:tblPr>
      <w:tblGrid>
        <w:gridCol w:w="534"/>
        <w:gridCol w:w="4252"/>
        <w:gridCol w:w="7088"/>
        <w:gridCol w:w="2409"/>
      </w:tblGrid>
      <w:tr w:rsidR="000E4F81" w:rsidRPr="003D4B15" w14:paraId="59F08337" w14:textId="77777777" w:rsidTr="000E4F81">
        <w:tc>
          <w:tcPr>
            <w:tcW w:w="14283" w:type="dxa"/>
            <w:gridSpan w:val="4"/>
            <w:shd w:val="clear" w:color="auto" w:fill="B4C6E7" w:themeFill="accent5" w:themeFillTint="66"/>
          </w:tcPr>
          <w:p w14:paraId="530C92F7" w14:textId="77777777" w:rsidR="00206356" w:rsidRDefault="00206356" w:rsidP="00206356">
            <w:pPr>
              <w:rPr>
                <w:rFonts w:ascii="Arial" w:hAnsi="Arial" w:cs="Arial"/>
              </w:rPr>
            </w:pPr>
            <w:r w:rsidRPr="000E4F81">
              <w:rPr>
                <w:rFonts w:ascii="Arial" w:hAnsi="Arial" w:cs="Arial"/>
                <w:b/>
              </w:rPr>
              <w:t>Condition GS6(3) Providers must certify that their Board has taken all precautions necessary to comply with the licence, NHS Act and NHS Constitution</w:t>
            </w:r>
            <w:r w:rsidRPr="00B27F7A">
              <w:rPr>
                <w:rFonts w:ascii="Arial" w:hAnsi="Arial" w:cs="Arial"/>
              </w:rPr>
              <w:t xml:space="preserve"> </w:t>
            </w:r>
          </w:p>
          <w:p w14:paraId="53936E04" w14:textId="77777777" w:rsidR="000E4F81" w:rsidRPr="003D4B15" w:rsidRDefault="000E4F81" w:rsidP="00457B35">
            <w:pPr>
              <w:rPr>
                <w:rFonts w:ascii="Arial" w:hAnsi="Arial" w:cs="Arial"/>
                <w:b/>
              </w:rPr>
            </w:pPr>
          </w:p>
        </w:tc>
      </w:tr>
      <w:tr w:rsidR="000E4F81" w14:paraId="143D677A" w14:textId="77777777" w:rsidTr="00457B35">
        <w:tc>
          <w:tcPr>
            <w:tcW w:w="14283" w:type="dxa"/>
            <w:gridSpan w:val="4"/>
          </w:tcPr>
          <w:p w14:paraId="7AE6C72B" w14:textId="77777777" w:rsidR="000E4F81" w:rsidRDefault="000E4F81" w:rsidP="00457B35">
            <w:pPr>
              <w:rPr>
                <w:rFonts w:ascii="Arial" w:hAnsi="Arial" w:cs="Arial"/>
              </w:rPr>
            </w:pPr>
          </w:p>
          <w:p w14:paraId="0273B5EF" w14:textId="77777777" w:rsidR="000E4F81" w:rsidRPr="003D4B15" w:rsidRDefault="000E4F81" w:rsidP="00457B35">
            <w:pPr>
              <w:rPr>
                <w:rFonts w:ascii="Arial" w:hAnsi="Arial" w:cs="Arial"/>
              </w:rPr>
            </w:pPr>
            <w:r>
              <w:rPr>
                <w:rFonts w:ascii="Arial" w:hAnsi="Arial" w:cs="Arial"/>
              </w:rPr>
              <w:t>The Trust is</w:t>
            </w:r>
            <w:r w:rsidRPr="003D4B15">
              <w:rPr>
                <w:rFonts w:ascii="Arial" w:hAnsi="Arial" w:cs="Arial"/>
              </w:rPr>
              <w:t xml:space="preserve"> required to respond ‘Confirmed’ or ‘Not confirmed’ to the following statement. Explanatory information should be provided where required.  </w:t>
            </w:r>
          </w:p>
          <w:p w14:paraId="2C17484C" w14:textId="77777777" w:rsidR="000E4F81" w:rsidRPr="003D4B15" w:rsidRDefault="000E4F81" w:rsidP="00457B35">
            <w:pPr>
              <w:rPr>
                <w:rFonts w:ascii="Arial" w:hAnsi="Arial" w:cs="Arial"/>
                <w:u w:val="single"/>
              </w:rPr>
            </w:pPr>
          </w:p>
        </w:tc>
      </w:tr>
      <w:tr w:rsidR="000E4F81" w14:paraId="2ED0E0ED" w14:textId="77777777" w:rsidTr="00457B35">
        <w:tc>
          <w:tcPr>
            <w:tcW w:w="534" w:type="dxa"/>
          </w:tcPr>
          <w:p w14:paraId="12B771F7" w14:textId="77777777" w:rsidR="000E4F81" w:rsidRDefault="000E4F81" w:rsidP="00457B35">
            <w:pPr>
              <w:rPr>
                <w:rFonts w:ascii="Arial" w:hAnsi="Arial" w:cs="Arial"/>
                <w:b/>
                <w:u w:val="single"/>
              </w:rPr>
            </w:pPr>
          </w:p>
        </w:tc>
        <w:tc>
          <w:tcPr>
            <w:tcW w:w="4252" w:type="dxa"/>
          </w:tcPr>
          <w:p w14:paraId="229BBE84" w14:textId="77777777" w:rsidR="000E4F81" w:rsidRPr="003D4B15" w:rsidRDefault="000E4F81" w:rsidP="00457B35">
            <w:pPr>
              <w:rPr>
                <w:rFonts w:ascii="Arial" w:hAnsi="Arial" w:cs="Arial"/>
                <w:b/>
              </w:rPr>
            </w:pPr>
            <w:r w:rsidRPr="003D4B15">
              <w:rPr>
                <w:rFonts w:ascii="Arial" w:hAnsi="Arial" w:cs="Arial"/>
                <w:b/>
              </w:rPr>
              <w:t>Statement</w:t>
            </w:r>
          </w:p>
        </w:tc>
        <w:tc>
          <w:tcPr>
            <w:tcW w:w="7088" w:type="dxa"/>
          </w:tcPr>
          <w:p w14:paraId="4BE880C1" w14:textId="77777777" w:rsidR="000E4F81" w:rsidRDefault="000E4F81" w:rsidP="00457B35">
            <w:pPr>
              <w:rPr>
                <w:rFonts w:ascii="Arial" w:hAnsi="Arial" w:cs="Arial"/>
                <w:b/>
              </w:rPr>
            </w:pPr>
            <w:r>
              <w:rPr>
                <w:rFonts w:ascii="Arial" w:hAnsi="Arial" w:cs="Arial"/>
                <w:b/>
              </w:rPr>
              <w:t xml:space="preserve">Response </w:t>
            </w:r>
          </w:p>
          <w:p w14:paraId="31A04BCC" w14:textId="77777777" w:rsidR="000E4F81" w:rsidRPr="003D4B15" w:rsidRDefault="000E4F81" w:rsidP="00457B35">
            <w:pPr>
              <w:rPr>
                <w:rFonts w:ascii="Arial" w:hAnsi="Arial" w:cs="Arial"/>
                <w:b/>
              </w:rPr>
            </w:pPr>
            <w:r>
              <w:rPr>
                <w:rFonts w:ascii="Arial" w:hAnsi="Arial" w:cs="Arial"/>
                <w:b/>
              </w:rPr>
              <w:t>(and</w:t>
            </w:r>
            <w:r w:rsidRPr="003D4B15">
              <w:rPr>
                <w:rFonts w:ascii="Arial" w:hAnsi="Arial" w:cs="Arial"/>
                <w:b/>
              </w:rPr>
              <w:t xml:space="preserve"> supporting information/ assurance</w:t>
            </w:r>
            <w:r>
              <w:rPr>
                <w:rFonts w:ascii="Arial" w:hAnsi="Arial" w:cs="Arial"/>
                <w:b/>
              </w:rPr>
              <w:t>)</w:t>
            </w:r>
          </w:p>
        </w:tc>
        <w:tc>
          <w:tcPr>
            <w:tcW w:w="2409" w:type="dxa"/>
          </w:tcPr>
          <w:p w14:paraId="6D88A939" w14:textId="77777777" w:rsidR="000E4F81" w:rsidRPr="00440E24" w:rsidRDefault="000E4F81" w:rsidP="00457B35">
            <w:pPr>
              <w:rPr>
                <w:rFonts w:ascii="Arial" w:hAnsi="Arial" w:cs="Arial"/>
                <w:b/>
              </w:rPr>
            </w:pPr>
            <w:r w:rsidRPr="00440E24">
              <w:rPr>
                <w:rFonts w:ascii="Arial" w:hAnsi="Arial" w:cs="Arial"/>
                <w:b/>
              </w:rPr>
              <w:t>Risks and Mitigations</w:t>
            </w:r>
          </w:p>
        </w:tc>
      </w:tr>
      <w:tr w:rsidR="000E4F81" w14:paraId="6F2542D7" w14:textId="77777777" w:rsidTr="00457B35">
        <w:trPr>
          <w:trHeight w:val="1036"/>
        </w:trPr>
        <w:tc>
          <w:tcPr>
            <w:tcW w:w="534" w:type="dxa"/>
          </w:tcPr>
          <w:p w14:paraId="1E51A942" w14:textId="77777777" w:rsidR="000E4F81" w:rsidRDefault="000E4F81" w:rsidP="00457B35">
            <w:pPr>
              <w:rPr>
                <w:rFonts w:ascii="Arial" w:hAnsi="Arial" w:cs="Arial"/>
                <w:b/>
                <w:u w:val="single"/>
              </w:rPr>
            </w:pPr>
          </w:p>
        </w:tc>
        <w:tc>
          <w:tcPr>
            <w:tcW w:w="4252" w:type="dxa"/>
          </w:tcPr>
          <w:p w14:paraId="3DD7158E" w14:textId="77777777" w:rsidR="000E4F81" w:rsidRPr="003D4B15" w:rsidRDefault="000E4F81" w:rsidP="00457B35">
            <w:pPr>
              <w:rPr>
                <w:rFonts w:ascii="Arial" w:hAnsi="Arial" w:cs="Arial"/>
              </w:rPr>
            </w:pPr>
            <w:r w:rsidRPr="003D4B15">
              <w:rPr>
                <w:rFonts w:ascii="Arial" w:hAnsi="Arial" w:cs="Arial"/>
              </w:rPr>
              <w:t>Following a review for the purpose of paragraph 2(b) of licence condition G6, the Directors of the Licensee are satisfied that, in the Financial Year most recently ended, the Licensee took all such precautions as were necessary in order to comply with the conditions of the licence, any requirements imposed on it under the NHS Acts and have had regard to the NHS Constitution</w:t>
            </w:r>
          </w:p>
        </w:tc>
        <w:tc>
          <w:tcPr>
            <w:tcW w:w="7088" w:type="dxa"/>
          </w:tcPr>
          <w:p w14:paraId="7F62B47C" w14:textId="77777777" w:rsidR="000E4F81" w:rsidRPr="00317561" w:rsidRDefault="000E4F81" w:rsidP="00457B35">
            <w:pPr>
              <w:rPr>
                <w:rFonts w:ascii="Arial" w:hAnsi="Arial" w:cs="Arial"/>
                <w:b/>
              </w:rPr>
            </w:pPr>
            <w:r w:rsidRPr="00317561">
              <w:rPr>
                <w:rFonts w:ascii="Arial" w:hAnsi="Arial" w:cs="Arial"/>
                <w:b/>
              </w:rPr>
              <w:t>Confirmed</w:t>
            </w:r>
          </w:p>
          <w:p w14:paraId="08B2F954" w14:textId="1679ED04" w:rsidR="000E4F81" w:rsidRDefault="000E4F81" w:rsidP="00457B35">
            <w:pPr>
              <w:jc w:val="both"/>
              <w:rPr>
                <w:rFonts w:ascii="Arial" w:hAnsi="Arial" w:cs="Arial"/>
              </w:rPr>
            </w:pPr>
            <w:r>
              <w:rPr>
                <w:rFonts w:ascii="Arial" w:hAnsi="Arial" w:cs="Arial"/>
              </w:rPr>
              <w:t>Audit Committee received the draft annual accounts and the draft charitable accounts in late April</w:t>
            </w:r>
            <w:r w:rsidR="00B90E86">
              <w:rPr>
                <w:rFonts w:ascii="Arial" w:hAnsi="Arial" w:cs="Arial"/>
              </w:rPr>
              <w:t xml:space="preserve"> 202</w:t>
            </w:r>
            <w:r w:rsidR="00226ADE">
              <w:rPr>
                <w:rFonts w:ascii="Arial" w:hAnsi="Arial" w:cs="Arial"/>
              </w:rPr>
              <w:t>5</w:t>
            </w:r>
            <w:r w:rsidRPr="009D521E">
              <w:rPr>
                <w:rFonts w:ascii="Arial" w:hAnsi="Arial" w:cs="Arial"/>
              </w:rPr>
              <w:t xml:space="preserve">. </w:t>
            </w:r>
            <w:r w:rsidR="00ED43DB">
              <w:rPr>
                <w:rFonts w:ascii="Arial" w:hAnsi="Arial" w:cs="Arial"/>
              </w:rPr>
              <w:t>A further review was undertaken in May 2025.</w:t>
            </w:r>
          </w:p>
          <w:p w14:paraId="5513BDCB" w14:textId="77777777" w:rsidR="000E4F81" w:rsidRDefault="000E4F81" w:rsidP="00457B35">
            <w:pPr>
              <w:jc w:val="both"/>
              <w:rPr>
                <w:rFonts w:ascii="Arial" w:hAnsi="Arial" w:cs="Arial"/>
              </w:rPr>
            </w:pPr>
          </w:p>
          <w:p w14:paraId="7164EA03" w14:textId="77777777" w:rsidR="000E4F81" w:rsidRDefault="000E4F81" w:rsidP="00457B35">
            <w:pPr>
              <w:jc w:val="both"/>
              <w:rPr>
                <w:rFonts w:ascii="Arial" w:hAnsi="Arial" w:cs="Arial"/>
              </w:rPr>
            </w:pPr>
            <w:r w:rsidRPr="009D521E">
              <w:rPr>
                <w:rFonts w:ascii="Arial" w:hAnsi="Arial" w:cs="Arial"/>
              </w:rPr>
              <w:t>The Trust’s Internal Audit progress report highlighted that they believe that the Head of Inter</w:t>
            </w:r>
            <w:r>
              <w:rPr>
                <w:rFonts w:ascii="Arial" w:hAnsi="Arial" w:cs="Arial"/>
              </w:rPr>
              <w:t xml:space="preserve">nal Audit Opinion would confirm </w:t>
            </w:r>
            <w:r w:rsidRPr="009D521E">
              <w:rPr>
                <w:rFonts w:ascii="Arial" w:hAnsi="Arial" w:cs="Arial"/>
              </w:rPr>
              <w:t xml:space="preserve">that “there is a good system of internal control designed to meet the organisation’s objectives, and that controls are generally being applied consistently”.  </w:t>
            </w:r>
          </w:p>
          <w:p w14:paraId="47726A0E" w14:textId="77777777" w:rsidR="000E4F81" w:rsidRDefault="000E4F81" w:rsidP="00457B35">
            <w:pPr>
              <w:jc w:val="both"/>
              <w:rPr>
                <w:rFonts w:ascii="Arial" w:hAnsi="Arial" w:cs="Arial"/>
              </w:rPr>
            </w:pPr>
          </w:p>
          <w:p w14:paraId="0B5B6365" w14:textId="4DFF0500" w:rsidR="000E4F81" w:rsidRPr="009D521E" w:rsidRDefault="000E4F81" w:rsidP="00457B35">
            <w:pPr>
              <w:jc w:val="both"/>
              <w:rPr>
                <w:rFonts w:ascii="Arial" w:hAnsi="Arial" w:cs="Arial"/>
              </w:rPr>
            </w:pPr>
            <w:r w:rsidRPr="009D521E">
              <w:rPr>
                <w:rFonts w:ascii="Arial" w:hAnsi="Arial" w:cs="Arial"/>
              </w:rPr>
              <w:t>The Head of Internal Assurance Report is planned to be present</w:t>
            </w:r>
            <w:r>
              <w:rPr>
                <w:rFonts w:ascii="Arial" w:hAnsi="Arial" w:cs="Arial"/>
              </w:rPr>
              <w:t>ed to the Audit Committee</w:t>
            </w:r>
            <w:r w:rsidRPr="009D521E">
              <w:rPr>
                <w:rFonts w:ascii="Arial" w:hAnsi="Arial" w:cs="Arial"/>
              </w:rPr>
              <w:t xml:space="preserve">.  This is a key piece of evidence to support compliance </w:t>
            </w:r>
            <w:r>
              <w:rPr>
                <w:rFonts w:ascii="Arial" w:hAnsi="Arial" w:cs="Arial"/>
              </w:rPr>
              <w:t>against</w:t>
            </w:r>
            <w:r w:rsidRPr="009D521E">
              <w:rPr>
                <w:rFonts w:ascii="Arial" w:hAnsi="Arial" w:cs="Arial"/>
              </w:rPr>
              <w:t xml:space="preserve"> this condition of the provider licence.  Further evidence to support this condition </w:t>
            </w:r>
            <w:r>
              <w:rPr>
                <w:rFonts w:ascii="Arial" w:hAnsi="Arial" w:cs="Arial"/>
              </w:rPr>
              <w:t>includes</w:t>
            </w:r>
            <w:r w:rsidRPr="009D521E">
              <w:rPr>
                <w:rFonts w:ascii="Arial" w:hAnsi="Arial" w:cs="Arial"/>
              </w:rPr>
              <w:t xml:space="preserve"> </w:t>
            </w:r>
            <w:r>
              <w:rPr>
                <w:rFonts w:ascii="Arial" w:hAnsi="Arial" w:cs="Arial"/>
              </w:rPr>
              <w:t xml:space="preserve">the Board Workshops and Board meeting </w:t>
            </w:r>
            <w:r w:rsidRPr="009D521E">
              <w:rPr>
                <w:rFonts w:ascii="Arial" w:hAnsi="Arial" w:cs="Arial"/>
              </w:rPr>
              <w:t xml:space="preserve">discussions on the Annual </w:t>
            </w:r>
            <w:r>
              <w:rPr>
                <w:rFonts w:ascii="Arial" w:hAnsi="Arial" w:cs="Arial"/>
              </w:rPr>
              <w:t>Plan 202</w:t>
            </w:r>
            <w:r w:rsidR="00B90E86">
              <w:rPr>
                <w:rFonts w:ascii="Arial" w:hAnsi="Arial" w:cs="Arial"/>
              </w:rPr>
              <w:t>4</w:t>
            </w:r>
            <w:r w:rsidR="00226ADE">
              <w:rPr>
                <w:rFonts w:ascii="Arial" w:hAnsi="Arial" w:cs="Arial"/>
              </w:rPr>
              <w:t>-25</w:t>
            </w:r>
            <w:r>
              <w:rPr>
                <w:rFonts w:ascii="Arial" w:hAnsi="Arial" w:cs="Arial"/>
              </w:rPr>
              <w:t>. This includes</w:t>
            </w:r>
            <w:r w:rsidRPr="009D521E">
              <w:rPr>
                <w:rFonts w:ascii="Arial" w:hAnsi="Arial" w:cs="Arial"/>
              </w:rPr>
              <w:t xml:space="preserve"> all known risks to compliance,</w:t>
            </w:r>
            <w:r>
              <w:rPr>
                <w:rFonts w:ascii="Arial" w:hAnsi="Arial" w:cs="Arial"/>
              </w:rPr>
              <w:t xml:space="preserve"> risk r</w:t>
            </w:r>
            <w:r w:rsidRPr="009D521E">
              <w:rPr>
                <w:rFonts w:ascii="Arial" w:hAnsi="Arial" w:cs="Arial"/>
              </w:rPr>
              <w:t>eports presented to each Aud</w:t>
            </w:r>
            <w:r>
              <w:rPr>
                <w:rFonts w:ascii="Arial" w:hAnsi="Arial" w:cs="Arial"/>
              </w:rPr>
              <w:t>it Committee and</w:t>
            </w:r>
            <w:r w:rsidRPr="009D521E">
              <w:rPr>
                <w:rFonts w:ascii="Arial" w:hAnsi="Arial" w:cs="Arial"/>
              </w:rPr>
              <w:t xml:space="preserve"> Board meetings, the </w:t>
            </w:r>
            <w:r>
              <w:rPr>
                <w:rFonts w:ascii="Arial" w:hAnsi="Arial" w:cs="Arial"/>
              </w:rPr>
              <w:t xml:space="preserve">development of the </w:t>
            </w:r>
            <w:r w:rsidRPr="009D521E">
              <w:rPr>
                <w:rFonts w:ascii="Arial" w:hAnsi="Arial" w:cs="Arial"/>
              </w:rPr>
              <w:t>Board Assurance Framework supported by the Annual Assurance Framework Opinion from Internal Audit, Resource Committee reports, Quality Committee reports</w:t>
            </w:r>
            <w:r>
              <w:rPr>
                <w:rFonts w:ascii="Arial" w:hAnsi="Arial" w:cs="Arial"/>
              </w:rPr>
              <w:t xml:space="preserve">, </w:t>
            </w:r>
            <w:r w:rsidRPr="009D521E">
              <w:rPr>
                <w:rFonts w:ascii="Arial" w:hAnsi="Arial" w:cs="Arial"/>
              </w:rPr>
              <w:t>the Integrated Board Reporting arrangements</w:t>
            </w:r>
            <w:r>
              <w:rPr>
                <w:rFonts w:ascii="Arial" w:hAnsi="Arial" w:cs="Arial"/>
              </w:rPr>
              <w:t>, the quality governance review and the</w:t>
            </w:r>
            <w:r w:rsidR="00B90E86">
              <w:rPr>
                <w:rFonts w:ascii="Arial" w:hAnsi="Arial" w:cs="Arial"/>
              </w:rPr>
              <w:t xml:space="preserve"> development of the Corporate Governance Framework</w:t>
            </w:r>
            <w:r w:rsidRPr="009D521E">
              <w:rPr>
                <w:rFonts w:ascii="Arial" w:hAnsi="Arial" w:cs="Arial"/>
              </w:rPr>
              <w:t xml:space="preserve">. </w:t>
            </w:r>
          </w:p>
          <w:p w14:paraId="4C00D808" w14:textId="77777777" w:rsidR="000E4F81" w:rsidRPr="009D521E" w:rsidRDefault="000E4F81" w:rsidP="00457B35">
            <w:pPr>
              <w:rPr>
                <w:rFonts w:ascii="Arial" w:hAnsi="Arial" w:cs="Arial"/>
              </w:rPr>
            </w:pPr>
          </w:p>
          <w:p w14:paraId="576C898A" w14:textId="77777777" w:rsidR="000E4F81" w:rsidRPr="003F2699" w:rsidRDefault="000E4F81" w:rsidP="00457B35">
            <w:pPr>
              <w:rPr>
                <w:rFonts w:ascii="Arial" w:hAnsi="Arial" w:cs="Arial"/>
              </w:rPr>
            </w:pPr>
            <w:r w:rsidRPr="009D521E">
              <w:rPr>
                <w:rFonts w:ascii="Arial" w:hAnsi="Arial" w:cs="Arial"/>
              </w:rPr>
              <w:t xml:space="preserve">The Trust’s information processes provide the opportunity to review performance data across multiple domains, </w:t>
            </w:r>
            <w:r>
              <w:rPr>
                <w:rFonts w:ascii="Arial" w:hAnsi="Arial" w:cs="Arial"/>
              </w:rPr>
              <w:t>to improve</w:t>
            </w:r>
            <w:r w:rsidRPr="009D521E">
              <w:rPr>
                <w:rFonts w:ascii="Arial" w:hAnsi="Arial" w:cs="Arial"/>
              </w:rPr>
              <w:t xml:space="preserve"> the availability and accuracy of data and the flow of information and assurance through the governance structure.</w:t>
            </w:r>
          </w:p>
        </w:tc>
        <w:tc>
          <w:tcPr>
            <w:tcW w:w="2409" w:type="dxa"/>
          </w:tcPr>
          <w:p w14:paraId="79E55CC7" w14:textId="77777777" w:rsidR="000E4F81" w:rsidRPr="00440E24" w:rsidRDefault="000E4F81" w:rsidP="00457B35">
            <w:pPr>
              <w:rPr>
                <w:rFonts w:ascii="Arial" w:hAnsi="Arial" w:cs="Arial"/>
              </w:rPr>
            </w:pPr>
            <w:r w:rsidRPr="00440E24">
              <w:rPr>
                <w:rFonts w:ascii="Arial" w:hAnsi="Arial" w:cs="Arial"/>
              </w:rPr>
              <w:t>No risks identified</w:t>
            </w:r>
          </w:p>
        </w:tc>
      </w:tr>
    </w:tbl>
    <w:p w14:paraId="01898A77" w14:textId="5FCE8F03" w:rsidR="00206356" w:rsidRDefault="00206356" w:rsidP="00206356">
      <w:pPr>
        <w:ind w:left="720"/>
        <w:rPr>
          <w:rFonts w:ascii="Arial" w:hAnsi="Arial" w:cs="Arial"/>
        </w:rPr>
      </w:pPr>
    </w:p>
    <w:tbl>
      <w:tblPr>
        <w:tblStyle w:val="TableGrid"/>
        <w:tblW w:w="14283" w:type="dxa"/>
        <w:tblLook w:val="04A0" w:firstRow="1" w:lastRow="0" w:firstColumn="1" w:lastColumn="0" w:noHBand="0" w:noVBand="1"/>
      </w:tblPr>
      <w:tblGrid>
        <w:gridCol w:w="534"/>
        <w:gridCol w:w="4252"/>
        <w:gridCol w:w="7088"/>
        <w:gridCol w:w="2409"/>
      </w:tblGrid>
      <w:tr w:rsidR="00206356" w:rsidRPr="003D4B15" w14:paraId="2219F7B1" w14:textId="77777777" w:rsidTr="00457B35">
        <w:tc>
          <w:tcPr>
            <w:tcW w:w="14283" w:type="dxa"/>
            <w:gridSpan w:val="4"/>
            <w:shd w:val="clear" w:color="auto" w:fill="B4C6E7" w:themeFill="accent5" w:themeFillTint="66"/>
          </w:tcPr>
          <w:p w14:paraId="35553D35" w14:textId="1251495F" w:rsidR="00206356" w:rsidRPr="003D4B15" w:rsidRDefault="00206356" w:rsidP="00457B35">
            <w:pPr>
              <w:rPr>
                <w:rFonts w:ascii="Arial" w:hAnsi="Arial" w:cs="Arial"/>
                <w:b/>
              </w:rPr>
            </w:pPr>
            <w:r w:rsidRPr="000E4F81">
              <w:rPr>
                <w:rFonts w:ascii="Arial" w:hAnsi="Arial" w:cs="Arial"/>
                <w:b/>
              </w:rPr>
              <w:t>Conditions to support continuity of service (CoS7)</w:t>
            </w:r>
          </w:p>
        </w:tc>
      </w:tr>
      <w:tr w:rsidR="00206356" w:rsidRPr="003D4B15" w14:paraId="75E2A000" w14:textId="77777777" w:rsidTr="00457B35">
        <w:tc>
          <w:tcPr>
            <w:tcW w:w="14283" w:type="dxa"/>
            <w:gridSpan w:val="4"/>
          </w:tcPr>
          <w:p w14:paraId="5940082F" w14:textId="77777777" w:rsidR="00206356" w:rsidRDefault="00206356" w:rsidP="00457B35">
            <w:pPr>
              <w:rPr>
                <w:rFonts w:ascii="Arial" w:hAnsi="Arial" w:cs="Arial"/>
              </w:rPr>
            </w:pPr>
          </w:p>
          <w:p w14:paraId="0886C679" w14:textId="77777777" w:rsidR="00206356" w:rsidRPr="003D4B15" w:rsidRDefault="00206356" w:rsidP="00457B35">
            <w:pPr>
              <w:rPr>
                <w:rFonts w:ascii="Arial" w:hAnsi="Arial" w:cs="Arial"/>
              </w:rPr>
            </w:pPr>
            <w:r>
              <w:rPr>
                <w:rFonts w:ascii="Arial" w:hAnsi="Arial" w:cs="Arial"/>
              </w:rPr>
              <w:t>The Trust is</w:t>
            </w:r>
            <w:r w:rsidRPr="003D4B15">
              <w:rPr>
                <w:rFonts w:ascii="Arial" w:hAnsi="Arial" w:cs="Arial"/>
              </w:rPr>
              <w:t xml:space="preserve"> required to respond ‘Confirmed’ or ‘Not confirmed’ to the following statement. Explanatory information should be provided where required.  </w:t>
            </w:r>
          </w:p>
          <w:p w14:paraId="3578C9CD" w14:textId="77777777" w:rsidR="00206356" w:rsidRPr="003D4B15" w:rsidRDefault="00206356" w:rsidP="00457B35">
            <w:pPr>
              <w:rPr>
                <w:rFonts w:ascii="Arial" w:hAnsi="Arial" w:cs="Arial"/>
                <w:u w:val="single"/>
              </w:rPr>
            </w:pPr>
          </w:p>
        </w:tc>
      </w:tr>
      <w:tr w:rsidR="00206356" w:rsidRPr="00440E24" w14:paraId="791D8FB6" w14:textId="77777777" w:rsidTr="00457B35">
        <w:tc>
          <w:tcPr>
            <w:tcW w:w="534" w:type="dxa"/>
          </w:tcPr>
          <w:p w14:paraId="12211ABC" w14:textId="77777777" w:rsidR="00206356" w:rsidRDefault="00206356" w:rsidP="00457B35">
            <w:pPr>
              <w:rPr>
                <w:rFonts w:ascii="Arial" w:hAnsi="Arial" w:cs="Arial"/>
                <w:b/>
                <w:u w:val="single"/>
              </w:rPr>
            </w:pPr>
          </w:p>
        </w:tc>
        <w:tc>
          <w:tcPr>
            <w:tcW w:w="4252" w:type="dxa"/>
          </w:tcPr>
          <w:p w14:paraId="1B0B6628" w14:textId="77777777" w:rsidR="00206356" w:rsidRPr="003D4B15" w:rsidRDefault="00206356" w:rsidP="00457B35">
            <w:pPr>
              <w:rPr>
                <w:rFonts w:ascii="Arial" w:hAnsi="Arial" w:cs="Arial"/>
                <w:b/>
              </w:rPr>
            </w:pPr>
            <w:r w:rsidRPr="003D4B15">
              <w:rPr>
                <w:rFonts w:ascii="Arial" w:hAnsi="Arial" w:cs="Arial"/>
                <w:b/>
              </w:rPr>
              <w:t>Statement</w:t>
            </w:r>
          </w:p>
        </w:tc>
        <w:tc>
          <w:tcPr>
            <w:tcW w:w="7088" w:type="dxa"/>
          </w:tcPr>
          <w:p w14:paraId="1F5AC76D" w14:textId="77777777" w:rsidR="00206356" w:rsidRDefault="00206356" w:rsidP="00457B35">
            <w:pPr>
              <w:rPr>
                <w:rFonts w:ascii="Arial" w:hAnsi="Arial" w:cs="Arial"/>
                <w:b/>
              </w:rPr>
            </w:pPr>
            <w:r>
              <w:rPr>
                <w:rFonts w:ascii="Arial" w:hAnsi="Arial" w:cs="Arial"/>
                <w:b/>
              </w:rPr>
              <w:t xml:space="preserve">Response </w:t>
            </w:r>
          </w:p>
          <w:p w14:paraId="78A17198" w14:textId="77777777" w:rsidR="00206356" w:rsidRPr="003D4B15" w:rsidRDefault="00206356" w:rsidP="00457B35">
            <w:pPr>
              <w:rPr>
                <w:rFonts w:ascii="Arial" w:hAnsi="Arial" w:cs="Arial"/>
                <w:b/>
              </w:rPr>
            </w:pPr>
            <w:r>
              <w:rPr>
                <w:rFonts w:ascii="Arial" w:hAnsi="Arial" w:cs="Arial"/>
                <w:b/>
              </w:rPr>
              <w:t>(and</w:t>
            </w:r>
            <w:r w:rsidRPr="003D4B15">
              <w:rPr>
                <w:rFonts w:ascii="Arial" w:hAnsi="Arial" w:cs="Arial"/>
                <w:b/>
              </w:rPr>
              <w:t xml:space="preserve"> supporting information/ assurance</w:t>
            </w:r>
            <w:r>
              <w:rPr>
                <w:rFonts w:ascii="Arial" w:hAnsi="Arial" w:cs="Arial"/>
                <w:b/>
              </w:rPr>
              <w:t>)</w:t>
            </w:r>
          </w:p>
        </w:tc>
        <w:tc>
          <w:tcPr>
            <w:tcW w:w="2409" w:type="dxa"/>
          </w:tcPr>
          <w:p w14:paraId="648FBB9E" w14:textId="77777777" w:rsidR="00206356" w:rsidRPr="00440E24" w:rsidRDefault="00206356" w:rsidP="00457B35">
            <w:pPr>
              <w:rPr>
                <w:rFonts w:ascii="Arial" w:hAnsi="Arial" w:cs="Arial"/>
                <w:b/>
              </w:rPr>
            </w:pPr>
            <w:r w:rsidRPr="00440E24">
              <w:rPr>
                <w:rFonts w:ascii="Arial" w:hAnsi="Arial" w:cs="Arial"/>
                <w:b/>
              </w:rPr>
              <w:t>Risks and Mitigations</w:t>
            </w:r>
          </w:p>
        </w:tc>
      </w:tr>
      <w:tr w:rsidR="00206356" w:rsidRPr="00440E24" w14:paraId="4587F4F5" w14:textId="77777777" w:rsidTr="00457B35">
        <w:trPr>
          <w:trHeight w:val="1036"/>
        </w:trPr>
        <w:tc>
          <w:tcPr>
            <w:tcW w:w="534" w:type="dxa"/>
          </w:tcPr>
          <w:p w14:paraId="7E1F27DC" w14:textId="77777777" w:rsidR="00206356" w:rsidRDefault="00206356" w:rsidP="00457B35">
            <w:pPr>
              <w:rPr>
                <w:rFonts w:ascii="Arial" w:hAnsi="Arial" w:cs="Arial"/>
                <w:b/>
                <w:u w:val="single"/>
              </w:rPr>
            </w:pPr>
          </w:p>
        </w:tc>
        <w:tc>
          <w:tcPr>
            <w:tcW w:w="4252" w:type="dxa"/>
          </w:tcPr>
          <w:p w14:paraId="0C490EBF" w14:textId="256C103F" w:rsidR="00206356" w:rsidRPr="00623899" w:rsidRDefault="00623899" w:rsidP="00457B35">
            <w:pPr>
              <w:rPr>
                <w:rFonts w:ascii="Arial" w:hAnsi="Arial" w:cs="Arial"/>
              </w:rPr>
            </w:pPr>
            <w:r w:rsidRPr="00623899">
              <w:rPr>
                <w:rFonts w:ascii="Arial" w:hAnsi="Arial" w:cs="Arial"/>
              </w:rPr>
              <w:t>This condition requires licensees to act in a way that secures access to the resources needed to operate Commissioner Requested Services.</w:t>
            </w:r>
          </w:p>
        </w:tc>
        <w:tc>
          <w:tcPr>
            <w:tcW w:w="7088" w:type="dxa"/>
          </w:tcPr>
          <w:p w14:paraId="1865F175" w14:textId="77777777" w:rsidR="00206356" w:rsidRDefault="00623899" w:rsidP="00457B35">
            <w:pPr>
              <w:rPr>
                <w:rFonts w:ascii="Arial" w:hAnsi="Arial" w:cs="Arial"/>
                <w:b/>
              </w:rPr>
            </w:pPr>
            <w:r>
              <w:rPr>
                <w:rFonts w:ascii="Arial" w:hAnsi="Arial" w:cs="Arial"/>
                <w:b/>
              </w:rPr>
              <w:t>Confirmed</w:t>
            </w:r>
          </w:p>
          <w:p w14:paraId="1EEFD5E9" w14:textId="101F0866" w:rsidR="00623899" w:rsidRDefault="00623899" w:rsidP="00457B35">
            <w:pPr>
              <w:rPr>
                <w:rFonts w:ascii="Arial" w:hAnsi="Arial" w:cs="Arial"/>
              </w:rPr>
            </w:pPr>
            <w:r>
              <w:rPr>
                <w:rFonts w:ascii="Arial" w:hAnsi="Arial" w:cs="Arial"/>
              </w:rPr>
              <w:t>The Trust complies with this condition and has agreements and contracts in place with Commissioners to continue to provide services.</w:t>
            </w:r>
          </w:p>
          <w:p w14:paraId="54B41F2A" w14:textId="77777777" w:rsidR="00623899" w:rsidRDefault="00623899" w:rsidP="00457B35">
            <w:pPr>
              <w:rPr>
                <w:rFonts w:ascii="Arial" w:hAnsi="Arial" w:cs="Arial"/>
              </w:rPr>
            </w:pPr>
          </w:p>
          <w:p w14:paraId="5DE19B9C" w14:textId="4D691AB0" w:rsidR="00623899" w:rsidRPr="00623899" w:rsidRDefault="00623899" w:rsidP="00457B35">
            <w:pPr>
              <w:rPr>
                <w:rFonts w:ascii="Arial" w:hAnsi="Arial" w:cs="Arial"/>
              </w:rPr>
            </w:pPr>
            <w:r>
              <w:rPr>
                <w:rFonts w:ascii="Arial" w:hAnsi="Arial" w:cs="Arial"/>
              </w:rPr>
              <w:t>Full details are contained in the Annual Report</w:t>
            </w:r>
          </w:p>
        </w:tc>
        <w:tc>
          <w:tcPr>
            <w:tcW w:w="2409" w:type="dxa"/>
          </w:tcPr>
          <w:p w14:paraId="331B9DF8" w14:textId="41A7907A" w:rsidR="00206356" w:rsidRPr="00440E24" w:rsidRDefault="00526BE8" w:rsidP="00457B35">
            <w:pPr>
              <w:rPr>
                <w:rFonts w:ascii="Arial" w:hAnsi="Arial" w:cs="Arial"/>
              </w:rPr>
            </w:pPr>
            <w:r>
              <w:rPr>
                <w:rFonts w:ascii="Arial" w:hAnsi="Arial" w:cs="Arial"/>
              </w:rPr>
              <w:t>No risks identified</w:t>
            </w:r>
          </w:p>
        </w:tc>
      </w:tr>
    </w:tbl>
    <w:p w14:paraId="18F4E0EF" w14:textId="61E52B7A" w:rsidR="00526BE8" w:rsidRDefault="00526BE8" w:rsidP="00206356">
      <w:pPr>
        <w:ind w:left="720"/>
        <w:rPr>
          <w:rFonts w:ascii="Arial" w:hAnsi="Arial" w:cs="Arial"/>
        </w:rPr>
      </w:pPr>
    </w:p>
    <w:p w14:paraId="2FC1E174" w14:textId="77777777" w:rsidR="00526BE8" w:rsidRDefault="00526BE8">
      <w:pPr>
        <w:rPr>
          <w:rFonts w:ascii="Arial" w:hAnsi="Arial" w:cs="Arial"/>
        </w:rPr>
      </w:pPr>
      <w:r>
        <w:rPr>
          <w:rFonts w:ascii="Arial" w:hAnsi="Arial" w:cs="Arial"/>
        </w:rPr>
        <w:br w:type="page"/>
      </w:r>
    </w:p>
    <w:p w14:paraId="513B1017" w14:textId="77777777" w:rsidR="00206356" w:rsidRDefault="00206356" w:rsidP="00206356">
      <w:pPr>
        <w:ind w:left="720"/>
        <w:rPr>
          <w:rFonts w:ascii="Arial" w:hAnsi="Arial" w:cs="Arial"/>
        </w:rPr>
      </w:pPr>
    </w:p>
    <w:tbl>
      <w:tblPr>
        <w:tblStyle w:val="TableGrid"/>
        <w:tblW w:w="14283" w:type="dxa"/>
        <w:tblLook w:val="04A0" w:firstRow="1" w:lastRow="0" w:firstColumn="1" w:lastColumn="0" w:noHBand="0" w:noVBand="1"/>
      </w:tblPr>
      <w:tblGrid>
        <w:gridCol w:w="534"/>
        <w:gridCol w:w="4252"/>
        <w:gridCol w:w="7088"/>
        <w:gridCol w:w="2409"/>
      </w:tblGrid>
      <w:tr w:rsidR="00526BE8" w:rsidRPr="003D4B15" w14:paraId="737BD449" w14:textId="77777777" w:rsidTr="00457B35">
        <w:tc>
          <w:tcPr>
            <w:tcW w:w="14283" w:type="dxa"/>
            <w:gridSpan w:val="4"/>
            <w:shd w:val="clear" w:color="auto" w:fill="B4C6E7" w:themeFill="accent5" w:themeFillTint="66"/>
          </w:tcPr>
          <w:p w14:paraId="4BED8E60" w14:textId="2E673098" w:rsidR="00526BE8" w:rsidRPr="003D4B15" w:rsidRDefault="00526BE8" w:rsidP="00457B35">
            <w:pPr>
              <w:rPr>
                <w:rFonts w:ascii="Arial" w:hAnsi="Arial" w:cs="Arial"/>
                <w:b/>
              </w:rPr>
            </w:pPr>
            <w:r w:rsidRPr="000E4F81">
              <w:rPr>
                <w:rFonts w:ascii="Arial" w:hAnsi="Arial" w:cs="Arial"/>
                <w:b/>
              </w:rPr>
              <w:t>Section 151(5) of the Health and Social Care Act 2012 Training of Governors</w:t>
            </w:r>
          </w:p>
        </w:tc>
      </w:tr>
      <w:tr w:rsidR="00526BE8" w:rsidRPr="003D4B15" w14:paraId="0E0DEB9D" w14:textId="77777777" w:rsidTr="00457B35">
        <w:tc>
          <w:tcPr>
            <w:tcW w:w="14283" w:type="dxa"/>
            <w:gridSpan w:val="4"/>
          </w:tcPr>
          <w:p w14:paraId="708BE56F" w14:textId="77777777" w:rsidR="00526BE8" w:rsidRDefault="00526BE8" w:rsidP="00457B35">
            <w:pPr>
              <w:rPr>
                <w:rFonts w:ascii="Arial" w:hAnsi="Arial" w:cs="Arial"/>
              </w:rPr>
            </w:pPr>
          </w:p>
          <w:p w14:paraId="41EDC956" w14:textId="77777777" w:rsidR="00526BE8" w:rsidRPr="003D4B15" w:rsidRDefault="00526BE8" w:rsidP="00457B35">
            <w:pPr>
              <w:rPr>
                <w:rFonts w:ascii="Arial" w:hAnsi="Arial" w:cs="Arial"/>
              </w:rPr>
            </w:pPr>
            <w:r>
              <w:rPr>
                <w:rFonts w:ascii="Arial" w:hAnsi="Arial" w:cs="Arial"/>
              </w:rPr>
              <w:t>The Trust is</w:t>
            </w:r>
            <w:r w:rsidRPr="003D4B15">
              <w:rPr>
                <w:rFonts w:ascii="Arial" w:hAnsi="Arial" w:cs="Arial"/>
              </w:rPr>
              <w:t xml:space="preserve"> required to respond ‘Confirmed’ or ‘Not confirmed’ to the following statement. Explanatory information should be provided where required.  </w:t>
            </w:r>
          </w:p>
          <w:p w14:paraId="5A51C560" w14:textId="77777777" w:rsidR="00526BE8" w:rsidRPr="003D4B15" w:rsidRDefault="00526BE8" w:rsidP="00457B35">
            <w:pPr>
              <w:rPr>
                <w:rFonts w:ascii="Arial" w:hAnsi="Arial" w:cs="Arial"/>
                <w:u w:val="single"/>
              </w:rPr>
            </w:pPr>
          </w:p>
        </w:tc>
      </w:tr>
      <w:tr w:rsidR="00526BE8" w:rsidRPr="00440E24" w14:paraId="3A01B6A3" w14:textId="77777777" w:rsidTr="00457B35">
        <w:tc>
          <w:tcPr>
            <w:tcW w:w="534" w:type="dxa"/>
          </w:tcPr>
          <w:p w14:paraId="4714A38D" w14:textId="77777777" w:rsidR="00526BE8" w:rsidRDefault="00526BE8" w:rsidP="00457B35">
            <w:pPr>
              <w:rPr>
                <w:rFonts w:ascii="Arial" w:hAnsi="Arial" w:cs="Arial"/>
                <w:b/>
                <w:u w:val="single"/>
              </w:rPr>
            </w:pPr>
          </w:p>
        </w:tc>
        <w:tc>
          <w:tcPr>
            <w:tcW w:w="4252" w:type="dxa"/>
          </w:tcPr>
          <w:p w14:paraId="7DD336EE" w14:textId="77777777" w:rsidR="00526BE8" w:rsidRPr="003D4B15" w:rsidRDefault="00526BE8" w:rsidP="00457B35">
            <w:pPr>
              <w:rPr>
                <w:rFonts w:ascii="Arial" w:hAnsi="Arial" w:cs="Arial"/>
                <w:b/>
              </w:rPr>
            </w:pPr>
            <w:r w:rsidRPr="003D4B15">
              <w:rPr>
                <w:rFonts w:ascii="Arial" w:hAnsi="Arial" w:cs="Arial"/>
                <w:b/>
              </w:rPr>
              <w:t>Statement</w:t>
            </w:r>
          </w:p>
        </w:tc>
        <w:tc>
          <w:tcPr>
            <w:tcW w:w="7088" w:type="dxa"/>
          </w:tcPr>
          <w:p w14:paraId="2AEF3914" w14:textId="77777777" w:rsidR="00526BE8" w:rsidRDefault="00526BE8" w:rsidP="00457B35">
            <w:pPr>
              <w:rPr>
                <w:rFonts w:ascii="Arial" w:hAnsi="Arial" w:cs="Arial"/>
                <w:b/>
              </w:rPr>
            </w:pPr>
            <w:r>
              <w:rPr>
                <w:rFonts w:ascii="Arial" w:hAnsi="Arial" w:cs="Arial"/>
                <w:b/>
              </w:rPr>
              <w:t xml:space="preserve">Response </w:t>
            </w:r>
          </w:p>
          <w:p w14:paraId="366D8E68" w14:textId="77777777" w:rsidR="00526BE8" w:rsidRPr="003D4B15" w:rsidRDefault="00526BE8" w:rsidP="00457B35">
            <w:pPr>
              <w:rPr>
                <w:rFonts w:ascii="Arial" w:hAnsi="Arial" w:cs="Arial"/>
                <w:b/>
              </w:rPr>
            </w:pPr>
            <w:r>
              <w:rPr>
                <w:rFonts w:ascii="Arial" w:hAnsi="Arial" w:cs="Arial"/>
                <w:b/>
              </w:rPr>
              <w:t>(and</w:t>
            </w:r>
            <w:r w:rsidRPr="003D4B15">
              <w:rPr>
                <w:rFonts w:ascii="Arial" w:hAnsi="Arial" w:cs="Arial"/>
                <w:b/>
              </w:rPr>
              <w:t xml:space="preserve"> supporting information/ assurance</w:t>
            </w:r>
            <w:r>
              <w:rPr>
                <w:rFonts w:ascii="Arial" w:hAnsi="Arial" w:cs="Arial"/>
                <w:b/>
              </w:rPr>
              <w:t>)</w:t>
            </w:r>
          </w:p>
        </w:tc>
        <w:tc>
          <w:tcPr>
            <w:tcW w:w="2409" w:type="dxa"/>
          </w:tcPr>
          <w:p w14:paraId="23FCF2F7" w14:textId="77777777" w:rsidR="00526BE8" w:rsidRPr="00440E24" w:rsidRDefault="00526BE8" w:rsidP="00457B35">
            <w:pPr>
              <w:rPr>
                <w:rFonts w:ascii="Arial" w:hAnsi="Arial" w:cs="Arial"/>
                <w:b/>
              </w:rPr>
            </w:pPr>
            <w:r w:rsidRPr="00440E24">
              <w:rPr>
                <w:rFonts w:ascii="Arial" w:hAnsi="Arial" w:cs="Arial"/>
                <w:b/>
              </w:rPr>
              <w:t>Risks and Mitigations</w:t>
            </w:r>
          </w:p>
        </w:tc>
      </w:tr>
      <w:tr w:rsidR="00526BE8" w:rsidRPr="00440E24" w14:paraId="3FB1DBD8" w14:textId="77777777" w:rsidTr="00457B35">
        <w:trPr>
          <w:trHeight w:val="1036"/>
        </w:trPr>
        <w:tc>
          <w:tcPr>
            <w:tcW w:w="534" w:type="dxa"/>
          </w:tcPr>
          <w:p w14:paraId="6EC85AF0" w14:textId="77777777" w:rsidR="00526BE8" w:rsidRDefault="00526BE8" w:rsidP="00457B35">
            <w:pPr>
              <w:rPr>
                <w:rFonts w:ascii="Arial" w:hAnsi="Arial" w:cs="Arial"/>
                <w:b/>
                <w:u w:val="single"/>
              </w:rPr>
            </w:pPr>
          </w:p>
        </w:tc>
        <w:tc>
          <w:tcPr>
            <w:tcW w:w="4252" w:type="dxa"/>
          </w:tcPr>
          <w:p w14:paraId="17558D38" w14:textId="68B623FA" w:rsidR="00526BE8" w:rsidRPr="00623899" w:rsidRDefault="00526BE8" w:rsidP="00457B35">
            <w:pPr>
              <w:rPr>
                <w:rFonts w:ascii="Arial" w:hAnsi="Arial" w:cs="Arial"/>
              </w:rPr>
            </w:pPr>
            <w:r w:rsidRPr="00526BE8">
              <w:rPr>
                <w:rFonts w:ascii="Arial" w:hAnsi="Arial" w:cs="Arial"/>
              </w:rPr>
              <w:t>The Board is satisfied that during the financial year most recently ended the Licensee has provided the necessary training to its Governors, as required in s151(5) of the Health and Social Care Act, to ensure they are equipped with the skills and knowledge they need to undertake their role.</w:t>
            </w:r>
          </w:p>
        </w:tc>
        <w:tc>
          <w:tcPr>
            <w:tcW w:w="7088" w:type="dxa"/>
          </w:tcPr>
          <w:p w14:paraId="678EC33F" w14:textId="77777777" w:rsidR="00526BE8" w:rsidRDefault="00526BE8" w:rsidP="00457B35">
            <w:pPr>
              <w:rPr>
                <w:rFonts w:ascii="Arial" w:hAnsi="Arial" w:cs="Arial"/>
                <w:b/>
              </w:rPr>
            </w:pPr>
            <w:r>
              <w:rPr>
                <w:rFonts w:ascii="Arial" w:hAnsi="Arial" w:cs="Arial"/>
                <w:b/>
              </w:rPr>
              <w:t>Confirmed</w:t>
            </w:r>
          </w:p>
          <w:p w14:paraId="095C5419" w14:textId="77777777" w:rsidR="00526BE8" w:rsidRDefault="00526BE8" w:rsidP="00457B35">
            <w:pPr>
              <w:rPr>
                <w:rFonts w:ascii="Arial" w:hAnsi="Arial" w:cs="Arial"/>
              </w:rPr>
            </w:pPr>
            <w:r>
              <w:rPr>
                <w:rFonts w:ascii="Arial" w:hAnsi="Arial" w:cs="Arial"/>
              </w:rPr>
              <w:t>During the year a wide range of activities have taken place to ensure that Governors have required training.  This has included:</w:t>
            </w:r>
          </w:p>
          <w:p w14:paraId="56B45569" w14:textId="77777777" w:rsidR="00526BE8" w:rsidRDefault="00526BE8" w:rsidP="00526BE8">
            <w:pPr>
              <w:pStyle w:val="ListParagraph"/>
              <w:numPr>
                <w:ilvl w:val="0"/>
                <w:numId w:val="43"/>
              </w:numPr>
              <w:ind w:left="774" w:hanging="283"/>
              <w:rPr>
                <w:rFonts w:ascii="Arial" w:hAnsi="Arial" w:cs="Arial"/>
              </w:rPr>
            </w:pPr>
            <w:r w:rsidRPr="00526BE8">
              <w:rPr>
                <w:rFonts w:ascii="Arial" w:hAnsi="Arial" w:cs="Arial"/>
              </w:rPr>
              <w:t xml:space="preserve">Training, learning and development opportunities are available to Governors throughout the year and a comprehensive Governor </w:t>
            </w:r>
            <w:proofErr w:type="gramStart"/>
            <w:r w:rsidRPr="00526BE8">
              <w:rPr>
                <w:rFonts w:ascii="Arial" w:hAnsi="Arial" w:cs="Arial"/>
              </w:rPr>
              <w:t>induction</w:t>
            </w:r>
            <w:proofErr w:type="gramEnd"/>
            <w:r w:rsidRPr="00526BE8">
              <w:rPr>
                <w:rFonts w:ascii="Arial" w:hAnsi="Arial" w:cs="Arial"/>
              </w:rPr>
              <w:t xml:space="preserve"> programme i</w:t>
            </w:r>
            <w:r>
              <w:rPr>
                <w:rFonts w:ascii="Arial" w:hAnsi="Arial" w:cs="Arial"/>
              </w:rPr>
              <w:t>s in place for new Governors.</w:t>
            </w:r>
          </w:p>
          <w:p w14:paraId="710593DF" w14:textId="77777777" w:rsidR="00526BE8" w:rsidRDefault="00526BE8" w:rsidP="00526BE8">
            <w:pPr>
              <w:pStyle w:val="ListParagraph"/>
              <w:numPr>
                <w:ilvl w:val="0"/>
                <w:numId w:val="43"/>
              </w:numPr>
              <w:ind w:left="774" w:hanging="283"/>
              <w:rPr>
                <w:rFonts w:ascii="Arial" w:hAnsi="Arial" w:cs="Arial"/>
              </w:rPr>
            </w:pPr>
            <w:r w:rsidRPr="00526BE8">
              <w:rPr>
                <w:rFonts w:ascii="Arial" w:hAnsi="Arial" w:cs="Arial"/>
              </w:rPr>
              <w:t xml:space="preserve">All Governors have access to the external courses programme delivered by </w:t>
            </w:r>
            <w:proofErr w:type="spellStart"/>
            <w:r w:rsidRPr="00526BE8">
              <w:rPr>
                <w:rFonts w:ascii="Arial" w:hAnsi="Arial" w:cs="Arial"/>
              </w:rPr>
              <w:t>Governwell</w:t>
            </w:r>
            <w:proofErr w:type="spellEnd"/>
            <w:r w:rsidRPr="00526BE8">
              <w:rPr>
                <w:rFonts w:ascii="Arial" w:hAnsi="Arial" w:cs="Arial"/>
              </w:rPr>
              <w:t xml:space="preserve"> (the National Training Programme for Governors) which is routinely publicised amongst Governors</w:t>
            </w:r>
          </w:p>
          <w:p w14:paraId="3D28C3A5" w14:textId="22922FFC" w:rsidR="00526BE8" w:rsidRDefault="00526BE8" w:rsidP="00526BE8">
            <w:pPr>
              <w:pStyle w:val="ListParagraph"/>
              <w:numPr>
                <w:ilvl w:val="0"/>
                <w:numId w:val="43"/>
              </w:numPr>
              <w:ind w:left="774" w:hanging="283"/>
              <w:rPr>
                <w:rFonts w:ascii="Arial" w:hAnsi="Arial" w:cs="Arial"/>
              </w:rPr>
            </w:pPr>
            <w:r w:rsidRPr="00526BE8">
              <w:rPr>
                <w:rFonts w:ascii="Arial" w:hAnsi="Arial" w:cs="Arial"/>
              </w:rPr>
              <w:t xml:space="preserve">Communications from a range of sources, including the Kings Fund, NHS Providers, NHS England, CQC, WYAAT, ICB and the local </w:t>
            </w:r>
            <w:proofErr w:type="spellStart"/>
            <w:r w:rsidRPr="00526BE8">
              <w:rPr>
                <w:rFonts w:ascii="Arial" w:hAnsi="Arial" w:cs="Arial"/>
              </w:rPr>
              <w:t>Healthwatch</w:t>
            </w:r>
            <w:proofErr w:type="spellEnd"/>
            <w:r w:rsidRPr="00526BE8">
              <w:rPr>
                <w:rFonts w:ascii="Arial" w:hAnsi="Arial" w:cs="Arial"/>
              </w:rPr>
              <w:t xml:space="preserve"> are shared with Governors as appropriate to inform and support the development of their knowledge base with regard to the national and l</w:t>
            </w:r>
            <w:r>
              <w:rPr>
                <w:rFonts w:ascii="Arial" w:hAnsi="Arial" w:cs="Arial"/>
              </w:rPr>
              <w:t xml:space="preserve">ocal health economy. </w:t>
            </w:r>
          </w:p>
          <w:p w14:paraId="04D35F9D" w14:textId="1C55377B" w:rsidR="00526BE8" w:rsidRPr="00526BE8" w:rsidRDefault="00526BE8" w:rsidP="00526BE8">
            <w:pPr>
              <w:pStyle w:val="ListParagraph"/>
              <w:numPr>
                <w:ilvl w:val="0"/>
                <w:numId w:val="43"/>
              </w:numPr>
              <w:ind w:left="774" w:hanging="283"/>
              <w:rPr>
                <w:rFonts w:ascii="Arial" w:hAnsi="Arial" w:cs="Arial"/>
              </w:rPr>
            </w:pPr>
            <w:r w:rsidRPr="00526BE8">
              <w:rPr>
                <w:rFonts w:ascii="Arial" w:hAnsi="Arial" w:cs="Arial"/>
              </w:rPr>
              <w:t xml:space="preserve">4 x a year Public and Private Council of Governor </w:t>
            </w:r>
            <w:proofErr w:type="gramStart"/>
            <w:r w:rsidRPr="00526BE8">
              <w:rPr>
                <w:rFonts w:ascii="Arial" w:hAnsi="Arial" w:cs="Arial"/>
              </w:rPr>
              <w:t>meetings</w:t>
            </w:r>
            <w:proofErr w:type="gramEnd"/>
            <w:r w:rsidR="00090155">
              <w:rPr>
                <w:rFonts w:ascii="Arial" w:hAnsi="Arial" w:cs="Arial"/>
              </w:rPr>
              <w:t xml:space="preserve"> which include opportunities to raise key questions important to the wider membership, hear from Non-executive Directors on their roles as well as discussions on Committees of the Board.  In addition in depth discussions and learning opportunities have been held prior to the meetings on: Patient Experience, Harrogate Integrated Facilities (the subsidiary company) and Health Inequalities.</w:t>
            </w:r>
          </w:p>
          <w:p w14:paraId="6122BEB2" w14:textId="096EE615" w:rsidR="00526BE8" w:rsidRDefault="008444FA" w:rsidP="00526BE8">
            <w:pPr>
              <w:pStyle w:val="ListParagraph"/>
              <w:numPr>
                <w:ilvl w:val="0"/>
                <w:numId w:val="43"/>
              </w:numPr>
              <w:ind w:left="774" w:hanging="283"/>
              <w:rPr>
                <w:rFonts w:ascii="Arial" w:hAnsi="Arial" w:cs="Arial"/>
              </w:rPr>
            </w:pPr>
            <w:r>
              <w:rPr>
                <w:rFonts w:ascii="Arial" w:hAnsi="Arial" w:cs="Arial"/>
              </w:rPr>
              <w:t>Regular</w:t>
            </w:r>
            <w:r w:rsidR="00526BE8" w:rsidRPr="00526BE8">
              <w:rPr>
                <w:rFonts w:ascii="Arial" w:hAnsi="Arial" w:cs="Arial"/>
              </w:rPr>
              <w:t xml:space="preserve"> informal governor sessions where the Chair, Chief Executives and rotating executive directors meet with governors to brief them on key areas of business as well as respond to a wide range of questions</w:t>
            </w:r>
            <w:r>
              <w:rPr>
                <w:rFonts w:ascii="Arial" w:hAnsi="Arial" w:cs="Arial"/>
              </w:rPr>
              <w:t xml:space="preserve"> have taken place as follows:</w:t>
            </w:r>
          </w:p>
          <w:p w14:paraId="7E7D59EA" w14:textId="13808C2C" w:rsidR="008444FA" w:rsidRDefault="008444FA" w:rsidP="008444FA">
            <w:pPr>
              <w:pStyle w:val="ListParagraph"/>
              <w:numPr>
                <w:ilvl w:val="0"/>
                <w:numId w:val="43"/>
              </w:numPr>
              <w:ind w:left="1192" w:hanging="142"/>
              <w:rPr>
                <w:rFonts w:ascii="Arial" w:hAnsi="Arial" w:cs="Arial"/>
              </w:rPr>
            </w:pPr>
            <w:r>
              <w:rPr>
                <w:rFonts w:ascii="Arial" w:hAnsi="Arial" w:cs="Arial"/>
              </w:rPr>
              <w:t>April 2024 – With a learning session on Finance in the NHS &amp; Charitable Funds and an focused brief on EPR</w:t>
            </w:r>
          </w:p>
          <w:p w14:paraId="458E3D57" w14:textId="39AC958F" w:rsidR="008444FA" w:rsidRDefault="008444FA" w:rsidP="008444FA">
            <w:pPr>
              <w:pStyle w:val="ListParagraph"/>
              <w:numPr>
                <w:ilvl w:val="0"/>
                <w:numId w:val="43"/>
              </w:numPr>
              <w:ind w:left="1192" w:hanging="142"/>
              <w:rPr>
                <w:rFonts w:ascii="Arial" w:hAnsi="Arial" w:cs="Arial"/>
              </w:rPr>
            </w:pPr>
            <w:r>
              <w:rPr>
                <w:rFonts w:ascii="Arial" w:hAnsi="Arial" w:cs="Arial"/>
              </w:rPr>
              <w:t xml:space="preserve">July 2024 – With a learning session on </w:t>
            </w:r>
            <w:proofErr w:type="spellStart"/>
            <w:r>
              <w:rPr>
                <w:rFonts w:ascii="Arial" w:hAnsi="Arial" w:cs="Arial"/>
              </w:rPr>
              <w:t>PowerBI</w:t>
            </w:r>
            <w:proofErr w:type="spellEnd"/>
            <w:r>
              <w:rPr>
                <w:rFonts w:ascii="Arial" w:hAnsi="Arial" w:cs="Arial"/>
              </w:rPr>
              <w:t xml:space="preserve"> and the Integrated Board Report.</w:t>
            </w:r>
          </w:p>
          <w:p w14:paraId="2CF25DC6" w14:textId="75643582" w:rsidR="008444FA" w:rsidRDefault="008444FA" w:rsidP="008444FA">
            <w:pPr>
              <w:pStyle w:val="ListParagraph"/>
              <w:numPr>
                <w:ilvl w:val="0"/>
                <w:numId w:val="43"/>
              </w:numPr>
              <w:ind w:left="1192" w:hanging="142"/>
              <w:rPr>
                <w:rFonts w:ascii="Arial" w:hAnsi="Arial" w:cs="Arial"/>
              </w:rPr>
            </w:pPr>
            <w:r>
              <w:rPr>
                <w:rFonts w:ascii="Arial" w:hAnsi="Arial" w:cs="Arial"/>
              </w:rPr>
              <w:t>October 2024 – With a learning session on Counter Fraud and Internal Audit and a focused brief on Winter Planning.</w:t>
            </w:r>
          </w:p>
          <w:p w14:paraId="2065A461" w14:textId="648E1D14" w:rsidR="008444FA" w:rsidRDefault="008444FA" w:rsidP="008444FA">
            <w:pPr>
              <w:pStyle w:val="ListParagraph"/>
              <w:numPr>
                <w:ilvl w:val="0"/>
                <w:numId w:val="43"/>
              </w:numPr>
              <w:ind w:left="1192" w:hanging="142"/>
              <w:rPr>
                <w:rFonts w:ascii="Arial" w:hAnsi="Arial" w:cs="Arial"/>
              </w:rPr>
            </w:pPr>
            <w:r>
              <w:rPr>
                <w:rFonts w:ascii="Arial" w:hAnsi="Arial" w:cs="Arial"/>
              </w:rPr>
              <w:t>January 2025 – With a learning session on the ICB and systems working.</w:t>
            </w:r>
          </w:p>
          <w:p w14:paraId="6286B301" w14:textId="27DBB92F" w:rsidR="008444FA" w:rsidRPr="00526BE8" w:rsidRDefault="008444FA" w:rsidP="008444FA">
            <w:pPr>
              <w:pStyle w:val="ListParagraph"/>
              <w:numPr>
                <w:ilvl w:val="0"/>
                <w:numId w:val="43"/>
              </w:numPr>
              <w:ind w:left="1192" w:hanging="142"/>
              <w:rPr>
                <w:rFonts w:ascii="Arial" w:hAnsi="Arial" w:cs="Arial"/>
              </w:rPr>
            </w:pPr>
            <w:r>
              <w:rPr>
                <w:rFonts w:ascii="Arial" w:hAnsi="Arial" w:cs="Arial"/>
              </w:rPr>
              <w:t>All sessions included an opportunity for general questions and answers session.</w:t>
            </w:r>
          </w:p>
          <w:p w14:paraId="39ABDFE9" w14:textId="1E8D067A" w:rsidR="00526BE8" w:rsidRPr="00526BE8" w:rsidRDefault="00526BE8" w:rsidP="00526BE8">
            <w:pPr>
              <w:pStyle w:val="ListParagraph"/>
              <w:numPr>
                <w:ilvl w:val="0"/>
                <w:numId w:val="43"/>
              </w:numPr>
              <w:ind w:left="774" w:hanging="283"/>
              <w:rPr>
                <w:rFonts w:ascii="Arial" w:hAnsi="Arial" w:cs="Arial"/>
              </w:rPr>
            </w:pPr>
            <w:r w:rsidRPr="00526BE8">
              <w:rPr>
                <w:rFonts w:ascii="Arial" w:hAnsi="Arial" w:cs="Arial"/>
              </w:rPr>
              <w:t>Bespoke training</w:t>
            </w:r>
            <w:r w:rsidR="008444FA">
              <w:rPr>
                <w:rFonts w:ascii="Arial" w:hAnsi="Arial" w:cs="Arial"/>
              </w:rPr>
              <w:t>, development and learning</w:t>
            </w:r>
            <w:r w:rsidRPr="00526BE8">
              <w:rPr>
                <w:rFonts w:ascii="Arial" w:hAnsi="Arial" w:cs="Arial"/>
              </w:rPr>
              <w:t xml:space="preserve"> sessions</w:t>
            </w:r>
            <w:r w:rsidR="008444FA">
              <w:rPr>
                <w:rFonts w:ascii="Arial" w:hAnsi="Arial" w:cs="Arial"/>
              </w:rPr>
              <w:t xml:space="preserve"> have been held in year</w:t>
            </w:r>
            <w:r w:rsidRPr="00526BE8">
              <w:rPr>
                <w:rFonts w:ascii="Arial" w:hAnsi="Arial" w:cs="Arial"/>
              </w:rPr>
              <w:t xml:space="preserve"> which have included: </w:t>
            </w:r>
            <w:r w:rsidR="00090155">
              <w:rPr>
                <w:rFonts w:ascii="Arial" w:hAnsi="Arial" w:cs="Arial"/>
              </w:rPr>
              <w:t>a welcome to new governors and a focus on the roles and responsibilities of governors.</w:t>
            </w:r>
          </w:p>
          <w:p w14:paraId="3A6D3CFE" w14:textId="77777777" w:rsidR="00526BE8" w:rsidRPr="00526BE8" w:rsidRDefault="00526BE8" w:rsidP="00526BE8">
            <w:pPr>
              <w:pStyle w:val="ListParagraph"/>
              <w:numPr>
                <w:ilvl w:val="0"/>
                <w:numId w:val="43"/>
              </w:numPr>
              <w:ind w:left="774" w:hanging="283"/>
              <w:rPr>
                <w:rFonts w:ascii="Arial" w:hAnsi="Arial" w:cs="Arial"/>
              </w:rPr>
            </w:pPr>
            <w:r w:rsidRPr="00526BE8">
              <w:rPr>
                <w:rFonts w:ascii="Arial" w:hAnsi="Arial" w:cs="Arial"/>
              </w:rPr>
              <w:t>2 x governors observe each sub-committee of the Board</w:t>
            </w:r>
          </w:p>
          <w:p w14:paraId="29FAD2CD" w14:textId="04D705D3" w:rsidR="00526BE8" w:rsidRPr="00526BE8" w:rsidRDefault="00526BE8" w:rsidP="00526BE8">
            <w:pPr>
              <w:pStyle w:val="ListParagraph"/>
              <w:numPr>
                <w:ilvl w:val="0"/>
                <w:numId w:val="43"/>
              </w:numPr>
              <w:ind w:left="774" w:hanging="283"/>
              <w:rPr>
                <w:rFonts w:ascii="Arial" w:hAnsi="Arial" w:cs="Arial"/>
              </w:rPr>
            </w:pPr>
            <w:r w:rsidRPr="00526BE8">
              <w:rPr>
                <w:rFonts w:ascii="Arial" w:hAnsi="Arial" w:cs="Arial"/>
              </w:rPr>
              <w:t>Weekly governor briefing via email</w:t>
            </w:r>
          </w:p>
        </w:tc>
        <w:tc>
          <w:tcPr>
            <w:tcW w:w="2409" w:type="dxa"/>
          </w:tcPr>
          <w:p w14:paraId="1675C922" w14:textId="74A16881" w:rsidR="00526BE8" w:rsidRPr="00440E24" w:rsidRDefault="00526BE8" w:rsidP="00457B35">
            <w:pPr>
              <w:rPr>
                <w:rFonts w:ascii="Arial" w:hAnsi="Arial" w:cs="Arial"/>
              </w:rPr>
            </w:pPr>
            <w:r>
              <w:rPr>
                <w:rFonts w:ascii="Arial" w:hAnsi="Arial" w:cs="Arial"/>
              </w:rPr>
              <w:t>No risk identified</w:t>
            </w:r>
          </w:p>
        </w:tc>
      </w:tr>
    </w:tbl>
    <w:p w14:paraId="359C6578" w14:textId="77777777" w:rsidR="00526BE8" w:rsidRDefault="00526BE8" w:rsidP="00206356">
      <w:pPr>
        <w:ind w:left="720"/>
        <w:rPr>
          <w:rFonts w:ascii="Arial" w:hAnsi="Arial" w:cs="Arial"/>
        </w:rPr>
      </w:pPr>
    </w:p>
    <w:p w14:paraId="7B535C56" w14:textId="3BF2FBD4" w:rsidR="00526BE8" w:rsidRDefault="00526BE8">
      <w:pPr>
        <w:rPr>
          <w:rFonts w:ascii="Arial" w:hAnsi="Arial" w:cs="Arial"/>
        </w:rPr>
      </w:pPr>
      <w:r>
        <w:rPr>
          <w:rFonts w:ascii="Arial" w:hAnsi="Arial" w:cs="Arial"/>
        </w:rPr>
        <w:br w:type="page"/>
      </w:r>
    </w:p>
    <w:p w14:paraId="73B3C1F0" w14:textId="77777777" w:rsidR="00526BE8" w:rsidRDefault="00526BE8" w:rsidP="00206356">
      <w:pPr>
        <w:ind w:left="720"/>
        <w:rPr>
          <w:rFonts w:ascii="Arial" w:hAnsi="Arial" w:cs="Arial"/>
        </w:rPr>
      </w:pPr>
    </w:p>
    <w:tbl>
      <w:tblPr>
        <w:tblStyle w:val="TableGrid"/>
        <w:tblW w:w="14283" w:type="dxa"/>
        <w:tblLook w:val="04A0" w:firstRow="1" w:lastRow="0" w:firstColumn="1" w:lastColumn="0" w:noHBand="0" w:noVBand="1"/>
      </w:tblPr>
      <w:tblGrid>
        <w:gridCol w:w="534"/>
        <w:gridCol w:w="4252"/>
        <w:gridCol w:w="7088"/>
        <w:gridCol w:w="2409"/>
      </w:tblGrid>
      <w:tr w:rsidR="000E4F81" w:rsidRPr="003D4B15" w14:paraId="4344F2E0" w14:textId="77777777" w:rsidTr="00B90E86">
        <w:tc>
          <w:tcPr>
            <w:tcW w:w="14283" w:type="dxa"/>
            <w:gridSpan w:val="4"/>
            <w:shd w:val="clear" w:color="auto" w:fill="B4C6E7" w:themeFill="accent5" w:themeFillTint="66"/>
          </w:tcPr>
          <w:p w14:paraId="3EFB219A" w14:textId="3DCC0B9E" w:rsidR="000E4F81" w:rsidRPr="003D4B15" w:rsidRDefault="00526BE8" w:rsidP="00457B35">
            <w:pPr>
              <w:rPr>
                <w:rFonts w:ascii="Arial" w:hAnsi="Arial" w:cs="Arial"/>
                <w:b/>
              </w:rPr>
            </w:pPr>
            <w:r w:rsidRPr="000E4F81">
              <w:rPr>
                <w:rFonts w:ascii="Arial" w:hAnsi="Arial" w:cs="Arial"/>
                <w:b/>
              </w:rPr>
              <w:t>Condition FT4(8): Providers must certify compliance with required governance standards and objectives</w:t>
            </w:r>
            <w:r w:rsidRPr="003D4B15">
              <w:rPr>
                <w:rFonts w:ascii="Arial" w:hAnsi="Arial" w:cs="Arial"/>
                <w:b/>
              </w:rPr>
              <w:t xml:space="preserve"> </w:t>
            </w:r>
          </w:p>
        </w:tc>
      </w:tr>
      <w:tr w:rsidR="000E4F81" w14:paraId="2789B7A6" w14:textId="77777777" w:rsidTr="00457B35">
        <w:tc>
          <w:tcPr>
            <w:tcW w:w="14283" w:type="dxa"/>
            <w:gridSpan w:val="4"/>
          </w:tcPr>
          <w:p w14:paraId="472664B9" w14:textId="77777777" w:rsidR="000E4F81" w:rsidRDefault="000E4F81" w:rsidP="00457B35">
            <w:pPr>
              <w:rPr>
                <w:rFonts w:ascii="Arial" w:hAnsi="Arial" w:cs="Arial"/>
              </w:rPr>
            </w:pPr>
          </w:p>
          <w:p w14:paraId="26F2F5E2" w14:textId="77777777" w:rsidR="000E4F81" w:rsidRDefault="000E4F81" w:rsidP="00457B35">
            <w:pPr>
              <w:rPr>
                <w:rFonts w:ascii="Arial" w:hAnsi="Arial" w:cs="Arial"/>
              </w:rPr>
            </w:pPr>
            <w:r>
              <w:rPr>
                <w:rFonts w:ascii="Arial" w:hAnsi="Arial" w:cs="Arial"/>
              </w:rPr>
              <w:t>The Trust is</w:t>
            </w:r>
            <w:r w:rsidRPr="00B86B86">
              <w:rPr>
                <w:rFonts w:ascii="Arial" w:hAnsi="Arial" w:cs="Arial"/>
              </w:rPr>
              <w:t xml:space="preserve"> required to respond ‘Confirmed’ or ‘Not confirmed’ to the following statements, setting out any risks and mitigating actions planned for each one.</w:t>
            </w:r>
          </w:p>
          <w:p w14:paraId="51CFAF6D" w14:textId="77777777" w:rsidR="000E4F81" w:rsidRPr="003D4B15" w:rsidRDefault="000E4F81" w:rsidP="00457B35">
            <w:pPr>
              <w:rPr>
                <w:rFonts w:ascii="Arial" w:hAnsi="Arial" w:cs="Arial"/>
                <w:u w:val="single"/>
              </w:rPr>
            </w:pPr>
          </w:p>
        </w:tc>
      </w:tr>
      <w:tr w:rsidR="000E4F81" w14:paraId="7EC5EEF0" w14:textId="77777777" w:rsidTr="00457B35">
        <w:tc>
          <w:tcPr>
            <w:tcW w:w="534" w:type="dxa"/>
          </w:tcPr>
          <w:p w14:paraId="695726FB" w14:textId="77777777" w:rsidR="000E4F81" w:rsidRDefault="000E4F81" w:rsidP="00457B35">
            <w:pPr>
              <w:rPr>
                <w:rFonts w:ascii="Arial" w:hAnsi="Arial" w:cs="Arial"/>
                <w:b/>
                <w:u w:val="single"/>
              </w:rPr>
            </w:pPr>
          </w:p>
        </w:tc>
        <w:tc>
          <w:tcPr>
            <w:tcW w:w="4252" w:type="dxa"/>
          </w:tcPr>
          <w:p w14:paraId="4F7F568E" w14:textId="77777777" w:rsidR="000E4F81" w:rsidRPr="003D4B15" w:rsidRDefault="000E4F81" w:rsidP="00457B35">
            <w:pPr>
              <w:rPr>
                <w:rFonts w:ascii="Arial" w:hAnsi="Arial" w:cs="Arial"/>
                <w:b/>
              </w:rPr>
            </w:pPr>
            <w:r w:rsidRPr="003D4B15">
              <w:rPr>
                <w:rFonts w:ascii="Arial" w:hAnsi="Arial" w:cs="Arial"/>
                <w:b/>
              </w:rPr>
              <w:t>Statement</w:t>
            </w:r>
          </w:p>
        </w:tc>
        <w:tc>
          <w:tcPr>
            <w:tcW w:w="7088" w:type="dxa"/>
          </w:tcPr>
          <w:p w14:paraId="63286A96" w14:textId="77777777" w:rsidR="000E4F81" w:rsidRDefault="000E4F81" w:rsidP="00457B35">
            <w:pPr>
              <w:rPr>
                <w:rFonts w:ascii="Arial" w:hAnsi="Arial" w:cs="Arial"/>
                <w:b/>
              </w:rPr>
            </w:pPr>
            <w:r>
              <w:rPr>
                <w:rFonts w:ascii="Arial" w:hAnsi="Arial" w:cs="Arial"/>
                <w:b/>
              </w:rPr>
              <w:t xml:space="preserve">Response </w:t>
            </w:r>
          </w:p>
          <w:p w14:paraId="208DF701" w14:textId="77777777" w:rsidR="000E4F81" w:rsidRPr="003D4B15" w:rsidRDefault="000E4F81" w:rsidP="00457B35">
            <w:pPr>
              <w:rPr>
                <w:rFonts w:ascii="Arial" w:hAnsi="Arial" w:cs="Arial"/>
                <w:b/>
              </w:rPr>
            </w:pPr>
            <w:r>
              <w:rPr>
                <w:rFonts w:ascii="Arial" w:hAnsi="Arial" w:cs="Arial"/>
                <w:b/>
              </w:rPr>
              <w:t>(and</w:t>
            </w:r>
            <w:r w:rsidRPr="003D4B15">
              <w:rPr>
                <w:rFonts w:ascii="Arial" w:hAnsi="Arial" w:cs="Arial"/>
                <w:b/>
              </w:rPr>
              <w:t xml:space="preserve"> supporting information/ assurance</w:t>
            </w:r>
            <w:r>
              <w:rPr>
                <w:rFonts w:ascii="Arial" w:hAnsi="Arial" w:cs="Arial"/>
                <w:b/>
              </w:rPr>
              <w:t>)</w:t>
            </w:r>
          </w:p>
        </w:tc>
        <w:tc>
          <w:tcPr>
            <w:tcW w:w="2409" w:type="dxa"/>
          </w:tcPr>
          <w:p w14:paraId="0149942B" w14:textId="77777777" w:rsidR="000E4F81" w:rsidRPr="00440E24" w:rsidRDefault="000E4F81" w:rsidP="00457B35">
            <w:pPr>
              <w:rPr>
                <w:rFonts w:ascii="Arial" w:hAnsi="Arial" w:cs="Arial"/>
                <w:b/>
              </w:rPr>
            </w:pPr>
            <w:r w:rsidRPr="00440E24">
              <w:rPr>
                <w:rFonts w:ascii="Arial" w:hAnsi="Arial" w:cs="Arial"/>
                <w:b/>
              </w:rPr>
              <w:t>Risks and Mitigations</w:t>
            </w:r>
          </w:p>
        </w:tc>
      </w:tr>
      <w:tr w:rsidR="000E4F81" w14:paraId="0AEE16ED" w14:textId="77777777" w:rsidTr="00457B35">
        <w:trPr>
          <w:trHeight w:val="1036"/>
        </w:trPr>
        <w:tc>
          <w:tcPr>
            <w:tcW w:w="534" w:type="dxa"/>
          </w:tcPr>
          <w:p w14:paraId="0A6C6BAC" w14:textId="77777777" w:rsidR="000E4F81" w:rsidRPr="00B86B86" w:rsidRDefault="000E4F81" w:rsidP="00457B35">
            <w:pPr>
              <w:rPr>
                <w:rFonts w:ascii="Arial" w:hAnsi="Arial" w:cs="Arial"/>
              </w:rPr>
            </w:pPr>
            <w:r w:rsidRPr="00B86B86">
              <w:rPr>
                <w:rFonts w:ascii="Arial" w:hAnsi="Arial" w:cs="Arial"/>
              </w:rPr>
              <w:t>1.</w:t>
            </w:r>
          </w:p>
        </w:tc>
        <w:tc>
          <w:tcPr>
            <w:tcW w:w="4252" w:type="dxa"/>
          </w:tcPr>
          <w:p w14:paraId="7C6B5583" w14:textId="77777777" w:rsidR="000E4F81" w:rsidRPr="003D4B15" w:rsidRDefault="000E4F81" w:rsidP="00457B35">
            <w:pPr>
              <w:rPr>
                <w:rFonts w:ascii="Arial" w:hAnsi="Arial" w:cs="Arial"/>
              </w:rPr>
            </w:pPr>
            <w:r w:rsidRPr="00B86B86">
              <w:rPr>
                <w:rFonts w:ascii="Arial" w:hAnsi="Arial" w:cs="Arial"/>
              </w:rPr>
              <w:t>The Board is satisfied that the Licensee applies those principles, systems and standards of good corporate governance which reasonably would be regarded as appropriate for a supplier of health care services to the NHS.</w:t>
            </w:r>
          </w:p>
        </w:tc>
        <w:tc>
          <w:tcPr>
            <w:tcW w:w="7088" w:type="dxa"/>
          </w:tcPr>
          <w:p w14:paraId="3CBC6CFD" w14:textId="77777777" w:rsidR="000E4F81" w:rsidRPr="00317561" w:rsidRDefault="000E4F81" w:rsidP="00457B35">
            <w:pPr>
              <w:rPr>
                <w:rFonts w:ascii="Arial" w:hAnsi="Arial" w:cs="Arial"/>
                <w:b/>
              </w:rPr>
            </w:pPr>
            <w:r w:rsidRPr="00317561">
              <w:rPr>
                <w:rFonts w:ascii="Arial" w:hAnsi="Arial" w:cs="Arial"/>
                <w:b/>
              </w:rPr>
              <w:t>Confirmed</w:t>
            </w:r>
          </w:p>
          <w:p w14:paraId="23ADFD0E" w14:textId="458849F3" w:rsidR="000E4F81" w:rsidRDefault="000E4F81" w:rsidP="00457B35">
            <w:pPr>
              <w:jc w:val="both"/>
              <w:rPr>
                <w:rFonts w:ascii="Arial" w:hAnsi="Arial" w:cs="Arial"/>
              </w:rPr>
            </w:pPr>
            <w:r w:rsidRPr="00B86B86">
              <w:rPr>
                <w:rFonts w:ascii="Arial" w:hAnsi="Arial" w:cs="Arial"/>
              </w:rPr>
              <w:t xml:space="preserve">The </w:t>
            </w:r>
            <w:r>
              <w:rPr>
                <w:rFonts w:ascii="Arial" w:hAnsi="Arial" w:cs="Arial"/>
              </w:rPr>
              <w:t xml:space="preserve">Annual Governance Statement (AGS) </w:t>
            </w:r>
            <w:r w:rsidRPr="00B86B86">
              <w:rPr>
                <w:rFonts w:ascii="Arial" w:hAnsi="Arial" w:cs="Arial"/>
              </w:rPr>
              <w:t xml:space="preserve">outlines the main arrangements in place to ensure the Trust applies the principles, systems and standards of good corporate governance expected of it as a provider of health and social care services.  </w:t>
            </w:r>
          </w:p>
          <w:p w14:paraId="64D1BF13" w14:textId="77777777" w:rsidR="000E4F81" w:rsidRDefault="000E4F81" w:rsidP="00457B35">
            <w:pPr>
              <w:jc w:val="both"/>
              <w:rPr>
                <w:rFonts w:ascii="Arial" w:hAnsi="Arial" w:cs="Arial"/>
              </w:rPr>
            </w:pPr>
          </w:p>
          <w:p w14:paraId="5D9C368F" w14:textId="77777777" w:rsidR="000E4F81" w:rsidRDefault="000E4F81" w:rsidP="00457B35">
            <w:pPr>
              <w:jc w:val="both"/>
              <w:rPr>
                <w:rFonts w:ascii="Arial" w:hAnsi="Arial" w:cs="Arial"/>
              </w:rPr>
            </w:pPr>
            <w:r w:rsidRPr="00B86B86">
              <w:rPr>
                <w:rFonts w:ascii="Arial" w:hAnsi="Arial" w:cs="Arial"/>
              </w:rPr>
              <w:t xml:space="preserve">There is an internal audit programme </w:t>
            </w:r>
            <w:r>
              <w:rPr>
                <w:rFonts w:ascii="Arial" w:hAnsi="Arial" w:cs="Arial"/>
              </w:rPr>
              <w:t xml:space="preserve">including clinical audits </w:t>
            </w:r>
            <w:r w:rsidRPr="00B86B86">
              <w:rPr>
                <w:rFonts w:ascii="Arial" w:hAnsi="Arial" w:cs="Arial"/>
              </w:rPr>
              <w:t xml:space="preserve">in place, under the direction of the Audit Committee to ensure systems and processes are appropriately tested.  </w:t>
            </w:r>
          </w:p>
          <w:p w14:paraId="4CE5F30D" w14:textId="77777777" w:rsidR="000E4F81" w:rsidRDefault="000E4F81" w:rsidP="00457B35">
            <w:pPr>
              <w:jc w:val="both"/>
              <w:rPr>
                <w:rFonts w:ascii="Arial" w:hAnsi="Arial" w:cs="Arial"/>
              </w:rPr>
            </w:pPr>
          </w:p>
          <w:p w14:paraId="2CAA112A" w14:textId="77777777" w:rsidR="000E4F81" w:rsidRDefault="000E4F81" w:rsidP="00457B35">
            <w:pPr>
              <w:jc w:val="both"/>
              <w:rPr>
                <w:rFonts w:ascii="Arial" w:hAnsi="Arial" w:cs="Arial"/>
              </w:rPr>
            </w:pPr>
            <w:r w:rsidRPr="00B86B86">
              <w:rPr>
                <w:rFonts w:ascii="Arial" w:hAnsi="Arial" w:cs="Arial"/>
              </w:rPr>
              <w:t xml:space="preserve">The external auditors </w:t>
            </w:r>
            <w:r>
              <w:rPr>
                <w:rFonts w:ascii="Arial" w:hAnsi="Arial" w:cs="Arial"/>
              </w:rPr>
              <w:t xml:space="preserve">will </w:t>
            </w:r>
            <w:r w:rsidRPr="00B86B86">
              <w:rPr>
                <w:rFonts w:ascii="Arial" w:hAnsi="Arial" w:cs="Arial"/>
              </w:rPr>
              <w:t xml:space="preserve">deliver a robust annual audit plan reporting </w:t>
            </w:r>
            <w:r>
              <w:rPr>
                <w:rFonts w:ascii="Arial" w:hAnsi="Arial" w:cs="Arial"/>
              </w:rPr>
              <w:t xml:space="preserve">directly </w:t>
            </w:r>
            <w:r w:rsidRPr="00B86B86">
              <w:rPr>
                <w:rFonts w:ascii="Arial" w:hAnsi="Arial" w:cs="Arial"/>
              </w:rPr>
              <w:t xml:space="preserve">to the Audit Committee. </w:t>
            </w:r>
          </w:p>
          <w:p w14:paraId="13615120" w14:textId="77777777" w:rsidR="000E4F81" w:rsidRPr="00317561" w:rsidRDefault="000E4F81" w:rsidP="00457B35">
            <w:pPr>
              <w:jc w:val="both"/>
              <w:rPr>
                <w:rFonts w:cs="Arial"/>
                <w:sz w:val="24"/>
                <w:szCs w:val="24"/>
              </w:rPr>
            </w:pPr>
          </w:p>
        </w:tc>
        <w:tc>
          <w:tcPr>
            <w:tcW w:w="2409" w:type="dxa"/>
          </w:tcPr>
          <w:p w14:paraId="1771FC70" w14:textId="77777777" w:rsidR="000E4F81" w:rsidRPr="00440E24" w:rsidRDefault="000E4F81" w:rsidP="00457B35">
            <w:pPr>
              <w:rPr>
                <w:rFonts w:ascii="Arial" w:hAnsi="Arial" w:cs="Arial"/>
              </w:rPr>
            </w:pPr>
            <w:r w:rsidRPr="00440E24">
              <w:rPr>
                <w:rFonts w:ascii="Arial" w:hAnsi="Arial" w:cs="Arial"/>
              </w:rPr>
              <w:t>No risks identified</w:t>
            </w:r>
          </w:p>
        </w:tc>
      </w:tr>
      <w:tr w:rsidR="000E4F81" w14:paraId="71EDC902" w14:textId="77777777" w:rsidTr="00457B35">
        <w:trPr>
          <w:trHeight w:val="1036"/>
        </w:trPr>
        <w:tc>
          <w:tcPr>
            <w:tcW w:w="534" w:type="dxa"/>
          </w:tcPr>
          <w:p w14:paraId="6AF24B73" w14:textId="77777777" w:rsidR="000E4F81" w:rsidRPr="00B86B86" w:rsidRDefault="000E4F81" w:rsidP="00457B35">
            <w:pPr>
              <w:rPr>
                <w:rFonts w:ascii="Arial" w:hAnsi="Arial" w:cs="Arial"/>
              </w:rPr>
            </w:pPr>
            <w:r w:rsidRPr="00B86B86">
              <w:rPr>
                <w:rFonts w:ascii="Arial" w:hAnsi="Arial" w:cs="Arial"/>
              </w:rPr>
              <w:t>2.</w:t>
            </w:r>
          </w:p>
        </w:tc>
        <w:tc>
          <w:tcPr>
            <w:tcW w:w="4252" w:type="dxa"/>
          </w:tcPr>
          <w:p w14:paraId="6C45744F" w14:textId="4CFE56A7" w:rsidR="000E4F81" w:rsidRPr="00B86B86" w:rsidRDefault="000E4F81" w:rsidP="00B90E86">
            <w:pPr>
              <w:rPr>
                <w:rFonts w:ascii="Arial" w:hAnsi="Arial" w:cs="Arial"/>
              </w:rPr>
            </w:pPr>
            <w:r w:rsidRPr="00B86B86">
              <w:rPr>
                <w:rFonts w:ascii="Arial" w:hAnsi="Arial" w:cs="Arial"/>
              </w:rPr>
              <w:t xml:space="preserve">The Board has regard to such guidance on good corporate governance as may be issued by NHS </w:t>
            </w:r>
            <w:r w:rsidR="00B90E86">
              <w:rPr>
                <w:rFonts w:ascii="Arial" w:hAnsi="Arial" w:cs="Arial"/>
              </w:rPr>
              <w:t>E</w:t>
            </w:r>
            <w:r w:rsidRPr="00B86B86">
              <w:rPr>
                <w:rFonts w:ascii="Arial" w:hAnsi="Arial" w:cs="Arial"/>
              </w:rPr>
              <w:t xml:space="preserve"> from time to time</w:t>
            </w:r>
            <w:r>
              <w:rPr>
                <w:rFonts w:ascii="Arial" w:hAnsi="Arial" w:cs="Arial"/>
              </w:rPr>
              <w:t>.</w:t>
            </w:r>
          </w:p>
        </w:tc>
        <w:tc>
          <w:tcPr>
            <w:tcW w:w="7088" w:type="dxa"/>
          </w:tcPr>
          <w:p w14:paraId="3F8BEC84" w14:textId="77777777" w:rsidR="000E4F81" w:rsidRPr="003F2699" w:rsidRDefault="000E4F81" w:rsidP="00457B35">
            <w:pPr>
              <w:rPr>
                <w:rFonts w:ascii="Arial" w:hAnsi="Arial" w:cs="Arial"/>
                <w:b/>
              </w:rPr>
            </w:pPr>
            <w:r w:rsidRPr="00B86B86">
              <w:rPr>
                <w:rFonts w:ascii="Arial" w:hAnsi="Arial" w:cs="Arial"/>
                <w:b/>
              </w:rPr>
              <w:t>Confirmed</w:t>
            </w:r>
          </w:p>
          <w:p w14:paraId="75FD5A7E" w14:textId="77777777" w:rsidR="000E4F81" w:rsidRDefault="000E4F81" w:rsidP="00457B35">
            <w:pPr>
              <w:rPr>
                <w:rFonts w:ascii="Arial" w:hAnsi="Arial" w:cs="Arial"/>
              </w:rPr>
            </w:pPr>
            <w:r w:rsidRPr="002D1090">
              <w:rPr>
                <w:rFonts w:ascii="Arial" w:hAnsi="Arial" w:cs="Arial"/>
              </w:rPr>
              <w:t>Declaration of compl</w:t>
            </w:r>
            <w:r>
              <w:rPr>
                <w:rFonts w:ascii="Arial" w:hAnsi="Arial" w:cs="Arial"/>
              </w:rPr>
              <w:t>iance included in Annual Report;</w:t>
            </w:r>
          </w:p>
          <w:p w14:paraId="13858C1C" w14:textId="77777777" w:rsidR="000E4F81" w:rsidRDefault="000E4F81" w:rsidP="00457B35">
            <w:pPr>
              <w:rPr>
                <w:rFonts w:ascii="Arial" w:hAnsi="Arial" w:cs="Arial"/>
              </w:rPr>
            </w:pPr>
          </w:p>
          <w:p w14:paraId="055CDD3A" w14:textId="0AF8B207" w:rsidR="000E4F81" w:rsidRDefault="000E4F81" w:rsidP="00457B35">
            <w:pPr>
              <w:rPr>
                <w:rFonts w:ascii="Arial" w:hAnsi="Arial" w:cs="Arial"/>
              </w:rPr>
            </w:pPr>
            <w:r>
              <w:rPr>
                <w:rFonts w:ascii="Arial" w:hAnsi="Arial" w:cs="Arial"/>
              </w:rPr>
              <w:t>NHS</w:t>
            </w:r>
            <w:r w:rsidR="00BB2E5A">
              <w:rPr>
                <w:rFonts w:ascii="Arial" w:hAnsi="Arial" w:cs="Arial"/>
              </w:rPr>
              <w:t>E</w:t>
            </w:r>
            <w:r>
              <w:rPr>
                <w:rFonts w:ascii="Arial" w:hAnsi="Arial" w:cs="Arial"/>
              </w:rPr>
              <w:t xml:space="preserve"> segmentation as per its Single Oversight Framework;</w:t>
            </w:r>
          </w:p>
          <w:p w14:paraId="569F9F62" w14:textId="77777777" w:rsidR="000E4F81" w:rsidRDefault="000E4F81" w:rsidP="00457B35">
            <w:pPr>
              <w:rPr>
                <w:rFonts w:ascii="Arial" w:hAnsi="Arial" w:cs="Arial"/>
              </w:rPr>
            </w:pPr>
          </w:p>
          <w:p w14:paraId="44B25DF9" w14:textId="77777777" w:rsidR="000E4F81" w:rsidRPr="00B86B86" w:rsidRDefault="000E4F81" w:rsidP="00457B35">
            <w:pPr>
              <w:rPr>
                <w:rFonts w:ascii="Arial" w:hAnsi="Arial" w:cs="Arial"/>
              </w:rPr>
            </w:pPr>
            <w:r>
              <w:rPr>
                <w:rFonts w:ascii="Arial" w:hAnsi="Arial" w:cs="Arial"/>
              </w:rPr>
              <w:t>Well Led assessment by the CQC last rated as “Good”.</w:t>
            </w:r>
          </w:p>
        </w:tc>
        <w:tc>
          <w:tcPr>
            <w:tcW w:w="2409" w:type="dxa"/>
          </w:tcPr>
          <w:p w14:paraId="09CBFE77" w14:textId="77777777" w:rsidR="000E4F81" w:rsidRPr="00440E24" w:rsidRDefault="000E4F81" w:rsidP="00457B35">
            <w:pPr>
              <w:rPr>
                <w:rFonts w:ascii="Arial" w:hAnsi="Arial" w:cs="Arial"/>
              </w:rPr>
            </w:pPr>
            <w:r w:rsidRPr="00440E24">
              <w:rPr>
                <w:rFonts w:ascii="Arial" w:hAnsi="Arial" w:cs="Arial"/>
              </w:rPr>
              <w:t>No risks identified</w:t>
            </w:r>
          </w:p>
        </w:tc>
      </w:tr>
      <w:tr w:rsidR="000E4F81" w14:paraId="78F3E01D" w14:textId="77777777" w:rsidTr="00457B35">
        <w:trPr>
          <w:trHeight w:val="1036"/>
        </w:trPr>
        <w:tc>
          <w:tcPr>
            <w:tcW w:w="534" w:type="dxa"/>
          </w:tcPr>
          <w:p w14:paraId="4A455141" w14:textId="77777777" w:rsidR="000E4F81" w:rsidRPr="00B86B86" w:rsidRDefault="000E4F81" w:rsidP="00457B35">
            <w:pPr>
              <w:rPr>
                <w:rFonts w:ascii="Arial" w:hAnsi="Arial" w:cs="Arial"/>
              </w:rPr>
            </w:pPr>
            <w:r w:rsidRPr="00B86B86">
              <w:rPr>
                <w:rFonts w:ascii="Arial" w:hAnsi="Arial" w:cs="Arial"/>
              </w:rPr>
              <w:t>3.</w:t>
            </w:r>
          </w:p>
        </w:tc>
        <w:tc>
          <w:tcPr>
            <w:tcW w:w="4252" w:type="dxa"/>
          </w:tcPr>
          <w:p w14:paraId="604B0A72" w14:textId="77777777" w:rsidR="000E4F81" w:rsidRDefault="000E4F81" w:rsidP="00457B35">
            <w:pPr>
              <w:rPr>
                <w:rFonts w:ascii="Arial" w:hAnsi="Arial" w:cs="Arial"/>
              </w:rPr>
            </w:pPr>
            <w:r w:rsidRPr="00B86B86">
              <w:rPr>
                <w:rFonts w:ascii="Arial" w:hAnsi="Arial" w:cs="Arial"/>
              </w:rPr>
              <w:t xml:space="preserve">The Board is satisfied that the Licensee implements:  </w:t>
            </w:r>
          </w:p>
          <w:p w14:paraId="39DC9D78" w14:textId="77777777" w:rsidR="000E4F81" w:rsidRDefault="000E4F81" w:rsidP="00457B35">
            <w:pPr>
              <w:rPr>
                <w:rFonts w:ascii="Arial" w:hAnsi="Arial" w:cs="Arial"/>
              </w:rPr>
            </w:pPr>
            <w:r>
              <w:rPr>
                <w:rFonts w:ascii="Arial" w:hAnsi="Arial" w:cs="Arial"/>
              </w:rPr>
              <w:t>(a) Effective Board and C</w:t>
            </w:r>
            <w:r w:rsidRPr="00B86B86">
              <w:rPr>
                <w:rFonts w:ascii="Arial" w:hAnsi="Arial" w:cs="Arial"/>
              </w:rPr>
              <w:t xml:space="preserve">ommittee structures </w:t>
            </w:r>
          </w:p>
          <w:p w14:paraId="5F91C734" w14:textId="77777777" w:rsidR="000E4F81" w:rsidRDefault="000E4F81" w:rsidP="00457B35">
            <w:pPr>
              <w:rPr>
                <w:rFonts w:ascii="Arial" w:hAnsi="Arial" w:cs="Arial"/>
              </w:rPr>
            </w:pPr>
            <w:r w:rsidRPr="00B86B86">
              <w:rPr>
                <w:rFonts w:ascii="Arial" w:hAnsi="Arial" w:cs="Arial"/>
              </w:rPr>
              <w:t>(b) Clear respo</w:t>
            </w:r>
            <w:r>
              <w:rPr>
                <w:rFonts w:ascii="Arial" w:hAnsi="Arial" w:cs="Arial"/>
              </w:rPr>
              <w:t>nsibilities for its Board, for  C</w:t>
            </w:r>
            <w:r w:rsidRPr="00B86B86">
              <w:rPr>
                <w:rFonts w:ascii="Arial" w:hAnsi="Arial" w:cs="Arial"/>
              </w:rPr>
              <w:t xml:space="preserve">ommittees reporting to the Board and for staff reporting to the Board and those </w:t>
            </w:r>
            <w:r>
              <w:rPr>
                <w:rFonts w:ascii="Arial" w:hAnsi="Arial" w:cs="Arial"/>
              </w:rPr>
              <w:t>C</w:t>
            </w:r>
            <w:r w:rsidRPr="00B86B86">
              <w:rPr>
                <w:rFonts w:ascii="Arial" w:hAnsi="Arial" w:cs="Arial"/>
              </w:rPr>
              <w:t xml:space="preserve">ommittees; and </w:t>
            </w:r>
          </w:p>
          <w:p w14:paraId="76940216" w14:textId="77777777" w:rsidR="000E4F81" w:rsidRPr="00B86B86" w:rsidRDefault="000E4F81" w:rsidP="00457B35">
            <w:pPr>
              <w:rPr>
                <w:rFonts w:ascii="Arial" w:hAnsi="Arial" w:cs="Arial"/>
              </w:rPr>
            </w:pPr>
            <w:r w:rsidRPr="00B86B86">
              <w:rPr>
                <w:rFonts w:ascii="Arial" w:hAnsi="Arial" w:cs="Arial"/>
              </w:rPr>
              <w:lastRenderedPageBreak/>
              <w:t xml:space="preserve">(c) Clear reporting lines and accountabilities throughout its organisation. </w:t>
            </w:r>
          </w:p>
          <w:p w14:paraId="2720EAEC" w14:textId="77777777" w:rsidR="000E4F81" w:rsidRPr="00B86B86" w:rsidRDefault="000E4F81" w:rsidP="00457B35">
            <w:pPr>
              <w:rPr>
                <w:rFonts w:ascii="Arial" w:hAnsi="Arial" w:cs="Arial"/>
              </w:rPr>
            </w:pPr>
          </w:p>
        </w:tc>
        <w:tc>
          <w:tcPr>
            <w:tcW w:w="7088" w:type="dxa"/>
          </w:tcPr>
          <w:p w14:paraId="34E12CFD" w14:textId="77777777" w:rsidR="000E4F81" w:rsidRPr="003F2699" w:rsidRDefault="000E4F81" w:rsidP="00457B35">
            <w:pPr>
              <w:rPr>
                <w:rFonts w:ascii="Arial" w:hAnsi="Arial" w:cs="Arial"/>
                <w:b/>
              </w:rPr>
            </w:pPr>
            <w:r w:rsidRPr="00B86B86">
              <w:rPr>
                <w:rFonts w:ascii="Arial" w:hAnsi="Arial" w:cs="Arial"/>
                <w:b/>
              </w:rPr>
              <w:lastRenderedPageBreak/>
              <w:t>Confirmed</w:t>
            </w:r>
          </w:p>
          <w:p w14:paraId="3D87A3CD" w14:textId="7F848CEA" w:rsidR="000E4F81" w:rsidRPr="00B86B86" w:rsidRDefault="000E4F81" w:rsidP="00457B35">
            <w:pPr>
              <w:rPr>
                <w:rFonts w:ascii="Arial" w:hAnsi="Arial" w:cs="Arial"/>
              </w:rPr>
            </w:pPr>
            <w:r>
              <w:rPr>
                <w:rFonts w:ascii="Arial" w:hAnsi="Arial" w:cs="Arial"/>
              </w:rPr>
              <w:t>The Board Committee structures reporting</w:t>
            </w:r>
            <w:r w:rsidRPr="00B86B86">
              <w:rPr>
                <w:rFonts w:ascii="Arial" w:hAnsi="Arial" w:cs="Arial"/>
              </w:rPr>
              <w:t xml:space="preserve"> to </w:t>
            </w:r>
            <w:r>
              <w:rPr>
                <w:rFonts w:ascii="Arial" w:hAnsi="Arial" w:cs="Arial"/>
              </w:rPr>
              <w:t xml:space="preserve">the </w:t>
            </w:r>
            <w:r w:rsidRPr="00B86B86">
              <w:rPr>
                <w:rFonts w:ascii="Arial" w:hAnsi="Arial" w:cs="Arial"/>
              </w:rPr>
              <w:t xml:space="preserve">Board are defined and supported </w:t>
            </w:r>
            <w:r>
              <w:rPr>
                <w:rFonts w:ascii="Arial" w:hAnsi="Arial" w:cs="Arial"/>
              </w:rPr>
              <w:t>through a review of Committee Terms of R</w:t>
            </w:r>
            <w:r w:rsidRPr="00B86B86">
              <w:rPr>
                <w:rFonts w:ascii="Arial" w:hAnsi="Arial" w:cs="Arial"/>
              </w:rPr>
              <w:t>eference and reporting arrangements. The Board has formally delegated sp</w:t>
            </w:r>
            <w:r>
              <w:rPr>
                <w:rFonts w:ascii="Arial" w:hAnsi="Arial" w:cs="Arial"/>
              </w:rPr>
              <w:t>ecific responsibilities to the C</w:t>
            </w:r>
            <w:r w:rsidR="00BB2E5A">
              <w:rPr>
                <w:rFonts w:ascii="Arial" w:hAnsi="Arial" w:cs="Arial"/>
              </w:rPr>
              <w:t>ommittees listed below:</w:t>
            </w:r>
          </w:p>
          <w:p w14:paraId="17A3CAAA" w14:textId="77777777" w:rsidR="000E4F81" w:rsidRPr="00B86B86" w:rsidRDefault="000E4F81" w:rsidP="00457B35">
            <w:pPr>
              <w:rPr>
                <w:rFonts w:ascii="Arial" w:hAnsi="Arial" w:cs="Arial"/>
              </w:rPr>
            </w:pPr>
            <w:r w:rsidRPr="00B86B86">
              <w:rPr>
                <w:rFonts w:ascii="Arial" w:hAnsi="Arial" w:cs="Arial"/>
              </w:rPr>
              <w:t xml:space="preserve"> </w:t>
            </w:r>
          </w:p>
          <w:p w14:paraId="01A29169" w14:textId="77777777" w:rsidR="000E4F81" w:rsidRPr="00B86B86" w:rsidRDefault="000E4F81" w:rsidP="000E4F81">
            <w:pPr>
              <w:pStyle w:val="ListParagraph"/>
              <w:numPr>
                <w:ilvl w:val="0"/>
                <w:numId w:val="44"/>
              </w:numPr>
              <w:rPr>
                <w:rFonts w:ascii="Arial" w:hAnsi="Arial" w:cs="Arial"/>
              </w:rPr>
            </w:pPr>
            <w:r w:rsidRPr="00B86B86">
              <w:rPr>
                <w:rFonts w:ascii="Arial" w:hAnsi="Arial" w:cs="Arial"/>
              </w:rPr>
              <w:t xml:space="preserve">Quality Committee  </w:t>
            </w:r>
          </w:p>
          <w:p w14:paraId="54B11EB8" w14:textId="77777777" w:rsidR="000E4F81" w:rsidRPr="00B86B86" w:rsidRDefault="000E4F81" w:rsidP="000E4F81">
            <w:pPr>
              <w:pStyle w:val="ListParagraph"/>
              <w:numPr>
                <w:ilvl w:val="0"/>
                <w:numId w:val="44"/>
              </w:numPr>
              <w:rPr>
                <w:rFonts w:ascii="Arial" w:hAnsi="Arial" w:cs="Arial"/>
              </w:rPr>
            </w:pPr>
            <w:r w:rsidRPr="00B86B86">
              <w:rPr>
                <w:rFonts w:ascii="Arial" w:hAnsi="Arial" w:cs="Arial"/>
              </w:rPr>
              <w:lastRenderedPageBreak/>
              <w:t>Resource Committee</w:t>
            </w:r>
          </w:p>
          <w:p w14:paraId="29F44DD1" w14:textId="77777777" w:rsidR="000E4F81" w:rsidRPr="00B86B86" w:rsidRDefault="000E4F81" w:rsidP="000E4F81">
            <w:pPr>
              <w:pStyle w:val="ListParagraph"/>
              <w:numPr>
                <w:ilvl w:val="0"/>
                <w:numId w:val="44"/>
              </w:numPr>
              <w:rPr>
                <w:rFonts w:ascii="Arial" w:hAnsi="Arial" w:cs="Arial"/>
              </w:rPr>
            </w:pPr>
            <w:r w:rsidRPr="00B86B86">
              <w:rPr>
                <w:rFonts w:ascii="Arial" w:hAnsi="Arial" w:cs="Arial"/>
              </w:rPr>
              <w:t xml:space="preserve">Remuneration Committee  </w:t>
            </w:r>
          </w:p>
          <w:p w14:paraId="1C5A091E" w14:textId="77777777" w:rsidR="000E4F81" w:rsidRDefault="000E4F81" w:rsidP="000E4F81">
            <w:pPr>
              <w:pStyle w:val="ListParagraph"/>
              <w:numPr>
                <w:ilvl w:val="0"/>
                <w:numId w:val="44"/>
              </w:numPr>
              <w:rPr>
                <w:rFonts w:ascii="Arial" w:hAnsi="Arial" w:cs="Arial"/>
              </w:rPr>
            </w:pPr>
            <w:r w:rsidRPr="00B86B86">
              <w:rPr>
                <w:rFonts w:ascii="Arial" w:hAnsi="Arial" w:cs="Arial"/>
              </w:rPr>
              <w:t>Audit Committee</w:t>
            </w:r>
          </w:p>
          <w:p w14:paraId="451C9499" w14:textId="544F29D2" w:rsidR="000E4F81" w:rsidRDefault="000E4F81" w:rsidP="000E4F81">
            <w:pPr>
              <w:pStyle w:val="ListParagraph"/>
              <w:numPr>
                <w:ilvl w:val="0"/>
                <w:numId w:val="44"/>
              </w:numPr>
              <w:rPr>
                <w:rFonts w:ascii="Arial" w:hAnsi="Arial" w:cs="Arial"/>
              </w:rPr>
            </w:pPr>
            <w:r>
              <w:rPr>
                <w:rFonts w:ascii="Arial" w:hAnsi="Arial" w:cs="Arial"/>
              </w:rPr>
              <w:t>People and Culture Committee</w:t>
            </w:r>
            <w:r w:rsidRPr="00B86B86">
              <w:rPr>
                <w:rFonts w:ascii="Arial" w:hAnsi="Arial" w:cs="Arial"/>
              </w:rPr>
              <w:t xml:space="preserve">  </w:t>
            </w:r>
          </w:p>
          <w:p w14:paraId="7C043F5E" w14:textId="72DB6BBD" w:rsidR="00B90E86" w:rsidRPr="00B86B86" w:rsidRDefault="00B90E86" w:rsidP="000E4F81">
            <w:pPr>
              <w:pStyle w:val="ListParagraph"/>
              <w:numPr>
                <w:ilvl w:val="0"/>
                <w:numId w:val="44"/>
              </w:numPr>
              <w:rPr>
                <w:rFonts w:ascii="Arial" w:hAnsi="Arial" w:cs="Arial"/>
              </w:rPr>
            </w:pPr>
            <w:r>
              <w:rPr>
                <w:rFonts w:ascii="Arial" w:hAnsi="Arial" w:cs="Arial"/>
              </w:rPr>
              <w:t>Innovation Committee</w:t>
            </w:r>
          </w:p>
          <w:p w14:paraId="747D7D1B" w14:textId="77777777" w:rsidR="000E4F81" w:rsidRPr="00B86B86" w:rsidRDefault="000E4F81" w:rsidP="00457B35">
            <w:pPr>
              <w:rPr>
                <w:rFonts w:ascii="Arial" w:hAnsi="Arial" w:cs="Arial"/>
              </w:rPr>
            </w:pPr>
          </w:p>
          <w:p w14:paraId="0D35789C" w14:textId="7A13582B" w:rsidR="000E4F81" w:rsidRDefault="000E4F81" w:rsidP="00457B35">
            <w:pPr>
              <w:rPr>
                <w:rFonts w:ascii="Arial" w:hAnsi="Arial" w:cs="Arial"/>
              </w:rPr>
            </w:pPr>
            <w:r w:rsidRPr="00B86B86">
              <w:rPr>
                <w:rFonts w:ascii="Arial" w:hAnsi="Arial" w:cs="Arial"/>
              </w:rPr>
              <w:t xml:space="preserve">The Trust’s governance structure ensures the appropriate flow and review of information at service level and up through the </w:t>
            </w:r>
            <w:r>
              <w:rPr>
                <w:rFonts w:ascii="Arial" w:hAnsi="Arial" w:cs="Arial"/>
              </w:rPr>
              <w:t>Directorates</w:t>
            </w:r>
            <w:r w:rsidRPr="00B86B86">
              <w:rPr>
                <w:rFonts w:ascii="Arial" w:hAnsi="Arial" w:cs="Arial"/>
              </w:rPr>
              <w:t xml:space="preserve"> </w:t>
            </w:r>
            <w:r>
              <w:rPr>
                <w:rFonts w:ascii="Arial" w:hAnsi="Arial" w:cs="Arial"/>
              </w:rPr>
              <w:t xml:space="preserve">to </w:t>
            </w:r>
            <w:r w:rsidR="00226ADE">
              <w:rPr>
                <w:rFonts w:ascii="Arial" w:hAnsi="Arial" w:cs="Arial"/>
              </w:rPr>
              <w:t xml:space="preserve">Strategy Deployment Room (SDR) formally </w:t>
            </w:r>
            <w:r>
              <w:rPr>
                <w:rFonts w:ascii="Arial" w:hAnsi="Arial" w:cs="Arial"/>
              </w:rPr>
              <w:t>Senior Management Team</w:t>
            </w:r>
            <w:r w:rsidRPr="00B86B86">
              <w:rPr>
                <w:rFonts w:ascii="Arial" w:hAnsi="Arial" w:cs="Arial"/>
              </w:rPr>
              <w:t xml:space="preserve"> </w:t>
            </w:r>
            <w:r>
              <w:rPr>
                <w:rFonts w:ascii="Arial" w:hAnsi="Arial" w:cs="Arial"/>
              </w:rPr>
              <w:t>(SMT) and supporting groups, providing assurance to the Board and its Committees</w:t>
            </w:r>
            <w:r w:rsidRPr="00B86B86">
              <w:rPr>
                <w:rFonts w:ascii="Arial" w:hAnsi="Arial" w:cs="Arial"/>
              </w:rPr>
              <w:t xml:space="preserve">. </w:t>
            </w:r>
            <w:r>
              <w:rPr>
                <w:rFonts w:ascii="Arial" w:hAnsi="Arial" w:cs="Arial"/>
              </w:rPr>
              <w:t xml:space="preserve">The quality/clinical governance structure has been reviewed and revised, with Quality Governance Management Group playing a key role in this. </w:t>
            </w:r>
          </w:p>
          <w:p w14:paraId="5760BFA1" w14:textId="77777777" w:rsidR="000E4F81" w:rsidRDefault="000E4F81" w:rsidP="00457B35">
            <w:pPr>
              <w:rPr>
                <w:rFonts w:ascii="Arial" w:hAnsi="Arial" w:cs="Arial"/>
              </w:rPr>
            </w:pPr>
          </w:p>
          <w:p w14:paraId="35A45DDA" w14:textId="686D0605" w:rsidR="000E4F81" w:rsidRPr="00B86B86" w:rsidRDefault="000E4F81" w:rsidP="00457B35">
            <w:pPr>
              <w:rPr>
                <w:rFonts w:ascii="Arial" w:hAnsi="Arial" w:cs="Arial"/>
              </w:rPr>
            </w:pPr>
            <w:r w:rsidRPr="00B86B86">
              <w:rPr>
                <w:rFonts w:ascii="Arial" w:hAnsi="Arial" w:cs="Arial"/>
              </w:rPr>
              <w:t xml:space="preserve">The monthly </w:t>
            </w:r>
            <w:r>
              <w:rPr>
                <w:rFonts w:ascii="Arial" w:hAnsi="Arial" w:cs="Arial"/>
              </w:rPr>
              <w:t>S</w:t>
            </w:r>
            <w:r w:rsidR="00226ADE">
              <w:rPr>
                <w:rFonts w:ascii="Arial" w:hAnsi="Arial" w:cs="Arial"/>
              </w:rPr>
              <w:t>DR</w:t>
            </w:r>
            <w:r w:rsidRPr="00B86B86">
              <w:rPr>
                <w:rFonts w:ascii="Arial" w:hAnsi="Arial" w:cs="Arial"/>
              </w:rPr>
              <w:t xml:space="preserve"> </w:t>
            </w:r>
            <w:r>
              <w:rPr>
                <w:rFonts w:ascii="Arial" w:hAnsi="Arial" w:cs="Arial"/>
              </w:rPr>
              <w:t xml:space="preserve">meeting </w:t>
            </w:r>
            <w:r w:rsidRPr="00B86B86">
              <w:rPr>
                <w:rFonts w:ascii="Arial" w:hAnsi="Arial" w:cs="Arial"/>
              </w:rPr>
              <w:t>provide</w:t>
            </w:r>
            <w:r>
              <w:rPr>
                <w:rFonts w:ascii="Arial" w:hAnsi="Arial" w:cs="Arial"/>
              </w:rPr>
              <w:t>s</w:t>
            </w:r>
            <w:r w:rsidRPr="00B86B86">
              <w:rPr>
                <w:rFonts w:ascii="Arial" w:hAnsi="Arial" w:cs="Arial"/>
              </w:rPr>
              <w:t xml:space="preserve"> scrutiny and monitoring of </w:t>
            </w:r>
            <w:r w:rsidR="00BB2E5A">
              <w:rPr>
                <w:rFonts w:ascii="Arial" w:hAnsi="Arial" w:cs="Arial"/>
              </w:rPr>
              <w:t xml:space="preserve">the Trust’s Ambitions, </w:t>
            </w:r>
            <w:r>
              <w:rPr>
                <w:rFonts w:ascii="Arial" w:hAnsi="Arial" w:cs="Arial"/>
              </w:rPr>
              <w:t xml:space="preserve">operational </w:t>
            </w:r>
            <w:r w:rsidRPr="00B86B86">
              <w:rPr>
                <w:rFonts w:ascii="Arial" w:hAnsi="Arial" w:cs="Arial"/>
              </w:rPr>
              <w:t>performance</w:t>
            </w:r>
            <w:r>
              <w:rPr>
                <w:rFonts w:ascii="Arial" w:hAnsi="Arial" w:cs="Arial"/>
              </w:rPr>
              <w:t>,</w:t>
            </w:r>
            <w:r w:rsidRPr="00B86B86">
              <w:rPr>
                <w:rFonts w:ascii="Arial" w:hAnsi="Arial" w:cs="Arial"/>
              </w:rPr>
              <w:t xml:space="preserve"> which </w:t>
            </w:r>
            <w:r>
              <w:rPr>
                <w:rFonts w:ascii="Arial" w:hAnsi="Arial" w:cs="Arial"/>
              </w:rPr>
              <w:t>supports the working of the Board’s Committees</w:t>
            </w:r>
            <w:r w:rsidRPr="00B86B86">
              <w:rPr>
                <w:rFonts w:ascii="Arial" w:hAnsi="Arial" w:cs="Arial"/>
              </w:rPr>
              <w:t xml:space="preserve">.  </w:t>
            </w:r>
          </w:p>
          <w:p w14:paraId="7DB15047" w14:textId="77777777" w:rsidR="000E4F81" w:rsidRDefault="000E4F81" w:rsidP="00457B35">
            <w:pPr>
              <w:rPr>
                <w:rFonts w:ascii="Arial" w:hAnsi="Arial" w:cs="Arial"/>
              </w:rPr>
            </w:pPr>
            <w:r w:rsidRPr="00B86B86">
              <w:rPr>
                <w:rFonts w:ascii="Arial" w:hAnsi="Arial" w:cs="Arial"/>
              </w:rPr>
              <w:t xml:space="preserve"> </w:t>
            </w:r>
          </w:p>
          <w:p w14:paraId="1661BD11" w14:textId="2639B451" w:rsidR="000E4F81" w:rsidRPr="00B86B86" w:rsidRDefault="000E4F81" w:rsidP="00457B35">
            <w:pPr>
              <w:rPr>
                <w:rFonts w:ascii="Arial" w:hAnsi="Arial" w:cs="Arial"/>
              </w:rPr>
            </w:pPr>
            <w:r w:rsidRPr="00B86B86">
              <w:rPr>
                <w:rFonts w:ascii="Arial" w:hAnsi="Arial" w:cs="Arial"/>
              </w:rPr>
              <w:t xml:space="preserve">An internal audit review of governance </w:t>
            </w:r>
            <w:r>
              <w:rPr>
                <w:rFonts w:ascii="Arial" w:hAnsi="Arial" w:cs="Arial"/>
              </w:rPr>
              <w:t>through the working of the Board Assurance Framework was carried out during 20</w:t>
            </w:r>
            <w:r w:rsidR="00226ADE">
              <w:rPr>
                <w:rFonts w:ascii="Arial" w:hAnsi="Arial" w:cs="Arial"/>
              </w:rPr>
              <w:t>24-25</w:t>
            </w:r>
            <w:r>
              <w:rPr>
                <w:rFonts w:ascii="Arial" w:hAnsi="Arial" w:cs="Arial"/>
              </w:rPr>
              <w:t>, the report of which is expected in</w:t>
            </w:r>
            <w:r w:rsidR="00B90E86">
              <w:rPr>
                <w:rFonts w:ascii="Arial" w:hAnsi="Arial" w:cs="Arial"/>
              </w:rPr>
              <w:t xml:space="preserve"> May 202</w:t>
            </w:r>
            <w:r w:rsidR="00226ADE">
              <w:rPr>
                <w:rFonts w:ascii="Arial" w:hAnsi="Arial" w:cs="Arial"/>
              </w:rPr>
              <w:t>5</w:t>
            </w:r>
            <w:r w:rsidR="00B90E86">
              <w:rPr>
                <w:rFonts w:ascii="Arial" w:hAnsi="Arial" w:cs="Arial"/>
              </w:rPr>
              <w:t xml:space="preserve"> to the Audit Committee noting</w:t>
            </w:r>
            <w:r w:rsidR="00F7170A">
              <w:rPr>
                <w:rFonts w:ascii="Arial" w:hAnsi="Arial" w:cs="Arial"/>
              </w:rPr>
              <w:t xml:space="preserve"> High </w:t>
            </w:r>
            <w:r w:rsidR="00B90E86">
              <w:rPr>
                <w:rFonts w:ascii="Arial" w:hAnsi="Arial" w:cs="Arial"/>
              </w:rPr>
              <w:t>Assurance.</w:t>
            </w:r>
            <w:r>
              <w:rPr>
                <w:rFonts w:ascii="Arial" w:hAnsi="Arial" w:cs="Arial"/>
              </w:rPr>
              <w:t xml:space="preserve"> </w:t>
            </w:r>
          </w:p>
          <w:p w14:paraId="3E9EDFA9" w14:textId="77777777" w:rsidR="000E4F81" w:rsidRPr="00B86B86" w:rsidRDefault="000E4F81" w:rsidP="00457B35">
            <w:pPr>
              <w:rPr>
                <w:rFonts w:ascii="Arial" w:hAnsi="Arial" w:cs="Arial"/>
              </w:rPr>
            </w:pPr>
          </w:p>
        </w:tc>
        <w:tc>
          <w:tcPr>
            <w:tcW w:w="2409" w:type="dxa"/>
          </w:tcPr>
          <w:p w14:paraId="6FF72FDB" w14:textId="77777777" w:rsidR="000E4F81" w:rsidRPr="00440E24" w:rsidRDefault="000E4F81" w:rsidP="00457B35">
            <w:pPr>
              <w:rPr>
                <w:rFonts w:ascii="Arial" w:hAnsi="Arial" w:cs="Arial"/>
              </w:rPr>
            </w:pPr>
            <w:r w:rsidRPr="00440E24">
              <w:rPr>
                <w:rFonts w:ascii="Arial" w:hAnsi="Arial" w:cs="Arial"/>
              </w:rPr>
              <w:lastRenderedPageBreak/>
              <w:t>No risks identified</w:t>
            </w:r>
          </w:p>
        </w:tc>
      </w:tr>
      <w:tr w:rsidR="000E4F81" w14:paraId="42892742" w14:textId="77777777" w:rsidTr="00457B35">
        <w:trPr>
          <w:trHeight w:val="1036"/>
        </w:trPr>
        <w:tc>
          <w:tcPr>
            <w:tcW w:w="534" w:type="dxa"/>
          </w:tcPr>
          <w:p w14:paraId="3EE9A69B" w14:textId="77777777" w:rsidR="000E4F81" w:rsidRPr="00B86B86" w:rsidRDefault="000E4F81" w:rsidP="00457B35">
            <w:pPr>
              <w:rPr>
                <w:rFonts w:ascii="Arial" w:hAnsi="Arial" w:cs="Arial"/>
              </w:rPr>
            </w:pPr>
          </w:p>
        </w:tc>
        <w:tc>
          <w:tcPr>
            <w:tcW w:w="4252" w:type="dxa"/>
          </w:tcPr>
          <w:p w14:paraId="24A95BB5" w14:textId="77777777" w:rsidR="000E4F81" w:rsidRPr="00C916F7" w:rsidRDefault="000E4F81" w:rsidP="00457B35">
            <w:pPr>
              <w:rPr>
                <w:rFonts w:ascii="Arial" w:hAnsi="Arial" w:cs="Arial"/>
              </w:rPr>
            </w:pPr>
            <w:r w:rsidRPr="00C916F7">
              <w:rPr>
                <w:rFonts w:ascii="Arial" w:hAnsi="Arial" w:cs="Arial"/>
              </w:rPr>
              <w:t xml:space="preserve">The Board is satisfied that the Licensee effectively implements systems and/or processes: </w:t>
            </w:r>
          </w:p>
          <w:p w14:paraId="102FE89A" w14:textId="77777777" w:rsidR="000E4F81" w:rsidRDefault="000E4F81" w:rsidP="000E4F81">
            <w:pPr>
              <w:pStyle w:val="ListParagraph"/>
              <w:numPr>
                <w:ilvl w:val="0"/>
                <w:numId w:val="45"/>
              </w:numPr>
              <w:rPr>
                <w:rFonts w:ascii="Arial" w:hAnsi="Arial" w:cs="Arial"/>
              </w:rPr>
            </w:pPr>
            <w:r w:rsidRPr="00C916F7">
              <w:rPr>
                <w:rFonts w:ascii="Arial" w:hAnsi="Arial" w:cs="Arial"/>
              </w:rPr>
              <w:t>To ensure compliance with the Licensee’s duty to operate efficiently, economically and effectively;</w:t>
            </w:r>
          </w:p>
          <w:p w14:paraId="18FB181E" w14:textId="77777777" w:rsidR="000E4F81" w:rsidRDefault="000E4F81" w:rsidP="00457B35">
            <w:pPr>
              <w:rPr>
                <w:rFonts w:ascii="Arial" w:hAnsi="Arial" w:cs="Arial"/>
              </w:rPr>
            </w:pPr>
          </w:p>
          <w:p w14:paraId="73D8E4E7" w14:textId="77777777" w:rsidR="000E4F81" w:rsidRDefault="000E4F81" w:rsidP="00457B35">
            <w:pPr>
              <w:rPr>
                <w:rFonts w:ascii="Arial" w:hAnsi="Arial" w:cs="Arial"/>
              </w:rPr>
            </w:pPr>
          </w:p>
          <w:p w14:paraId="62D25FFC" w14:textId="77777777" w:rsidR="000E4F81" w:rsidRDefault="000E4F81" w:rsidP="00457B35">
            <w:pPr>
              <w:rPr>
                <w:rFonts w:ascii="Arial" w:hAnsi="Arial" w:cs="Arial"/>
              </w:rPr>
            </w:pPr>
          </w:p>
          <w:p w14:paraId="3BB9404E" w14:textId="77777777" w:rsidR="000E4F81" w:rsidRDefault="000E4F81" w:rsidP="000E4F81">
            <w:pPr>
              <w:pStyle w:val="ListParagraph"/>
              <w:numPr>
                <w:ilvl w:val="0"/>
                <w:numId w:val="45"/>
              </w:numPr>
              <w:rPr>
                <w:rFonts w:ascii="Arial" w:hAnsi="Arial" w:cs="Arial"/>
              </w:rPr>
            </w:pPr>
            <w:r w:rsidRPr="00C916F7">
              <w:rPr>
                <w:rFonts w:ascii="Arial" w:hAnsi="Arial" w:cs="Arial"/>
              </w:rPr>
              <w:t xml:space="preserve">For timely and effective scrutiny and oversight by the Board of the Licensee’s operations;  </w:t>
            </w:r>
          </w:p>
          <w:p w14:paraId="4CE4D08B" w14:textId="77777777" w:rsidR="000E4F81" w:rsidRDefault="000E4F81" w:rsidP="00457B35">
            <w:pPr>
              <w:rPr>
                <w:rFonts w:ascii="Arial" w:hAnsi="Arial" w:cs="Arial"/>
              </w:rPr>
            </w:pPr>
          </w:p>
          <w:p w14:paraId="01214708" w14:textId="77777777" w:rsidR="000E4F81" w:rsidRDefault="000E4F81" w:rsidP="00457B35">
            <w:pPr>
              <w:rPr>
                <w:rFonts w:ascii="Arial" w:hAnsi="Arial" w:cs="Arial"/>
              </w:rPr>
            </w:pPr>
          </w:p>
          <w:p w14:paraId="74AEABE9" w14:textId="77777777" w:rsidR="000E4F81" w:rsidRDefault="000E4F81" w:rsidP="00457B35">
            <w:pPr>
              <w:rPr>
                <w:rFonts w:ascii="Arial" w:hAnsi="Arial" w:cs="Arial"/>
              </w:rPr>
            </w:pPr>
          </w:p>
          <w:p w14:paraId="6C05F7B7" w14:textId="77777777" w:rsidR="000E4F81" w:rsidRPr="00DA4830" w:rsidRDefault="000E4F81" w:rsidP="00457B35">
            <w:pPr>
              <w:rPr>
                <w:rFonts w:ascii="Arial" w:hAnsi="Arial" w:cs="Arial"/>
              </w:rPr>
            </w:pPr>
          </w:p>
          <w:p w14:paraId="3BFD066A" w14:textId="77777777" w:rsidR="000E4F81" w:rsidRDefault="000E4F81" w:rsidP="000E4F81">
            <w:pPr>
              <w:pStyle w:val="ListParagraph"/>
              <w:numPr>
                <w:ilvl w:val="0"/>
                <w:numId w:val="45"/>
              </w:numPr>
              <w:rPr>
                <w:rFonts w:ascii="Arial" w:hAnsi="Arial" w:cs="Arial"/>
              </w:rPr>
            </w:pPr>
            <w:r w:rsidRPr="00C916F7">
              <w:rPr>
                <w:rFonts w:ascii="Arial" w:hAnsi="Arial" w:cs="Arial"/>
              </w:rPr>
              <w:t xml:space="preserve">To ensure compliance with health care standards binding on the Licensee including but not restricted to standards specified by the Secretary of State, the Care Quality Commission, the NHS Commissioning Board and statutory regulators of health care professions; </w:t>
            </w:r>
          </w:p>
          <w:p w14:paraId="74EBEFBD" w14:textId="77777777" w:rsidR="000E4F81" w:rsidRDefault="000E4F81" w:rsidP="00457B35">
            <w:pPr>
              <w:rPr>
                <w:rFonts w:ascii="Arial" w:hAnsi="Arial" w:cs="Arial"/>
              </w:rPr>
            </w:pPr>
          </w:p>
          <w:p w14:paraId="1A5920B2" w14:textId="2F3E2BD4" w:rsidR="000E4F81" w:rsidRDefault="000E4F81" w:rsidP="00457B35">
            <w:pPr>
              <w:rPr>
                <w:rFonts w:ascii="Arial" w:hAnsi="Arial" w:cs="Arial"/>
              </w:rPr>
            </w:pPr>
          </w:p>
          <w:p w14:paraId="7F243383" w14:textId="77777777" w:rsidR="00226ADE" w:rsidRDefault="00226ADE" w:rsidP="00457B35">
            <w:pPr>
              <w:rPr>
                <w:rFonts w:ascii="Arial" w:hAnsi="Arial" w:cs="Arial"/>
              </w:rPr>
            </w:pPr>
          </w:p>
          <w:p w14:paraId="1C99F4CC" w14:textId="77777777" w:rsidR="000E4F81" w:rsidRPr="00DA4830" w:rsidRDefault="000E4F81" w:rsidP="00457B35">
            <w:pPr>
              <w:rPr>
                <w:rFonts w:ascii="Arial" w:hAnsi="Arial" w:cs="Arial"/>
              </w:rPr>
            </w:pPr>
          </w:p>
          <w:p w14:paraId="595105FB" w14:textId="77777777" w:rsidR="000E4F81" w:rsidRDefault="000E4F81" w:rsidP="000E4F81">
            <w:pPr>
              <w:pStyle w:val="ListParagraph"/>
              <w:numPr>
                <w:ilvl w:val="0"/>
                <w:numId w:val="45"/>
              </w:numPr>
              <w:rPr>
                <w:rFonts w:ascii="Arial" w:hAnsi="Arial" w:cs="Arial"/>
              </w:rPr>
            </w:pPr>
            <w:r w:rsidRPr="00C916F7">
              <w:rPr>
                <w:rFonts w:ascii="Arial" w:hAnsi="Arial" w:cs="Arial"/>
              </w:rPr>
              <w:t xml:space="preserve">For effective financial decision-making, management and control </w:t>
            </w:r>
            <w:r w:rsidRPr="008111B2">
              <w:rPr>
                <w:rFonts w:ascii="Arial" w:hAnsi="Arial" w:cs="Arial"/>
                <w:i/>
              </w:rPr>
              <w:t>(including but not restricted to appropriate systems and/or processes to ensure the Licensee’s ability to continue as a going concern</w:t>
            </w:r>
            <w:r w:rsidRPr="00C916F7">
              <w:rPr>
                <w:rFonts w:ascii="Arial" w:hAnsi="Arial" w:cs="Arial"/>
              </w:rPr>
              <w:t xml:space="preserve">);  </w:t>
            </w:r>
          </w:p>
          <w:p w14:paraId="145F6027" w14:textId="77777777" w:rsidR="000E4F81" w:rsidRDefault="000E4F81" w:rsidP="00457B35">
            <w:pPr>
              <w:rPr>
                <w:rFonts w:ascii="Arial" w:hAnsi="Arial" w:cs="Arial"/>
              </w:rPr>
            </w:pPr>
          </w:p>
          <w:p w14:paraId="29F87636" w14:textId="77777777" w:rsidR="000E4F81" w:rsidRDefault="000E4F81" w:rsidP="00457B35">
            <w:pPr>
              <w:rPr>
                <w:rFonts w:ascii="Arial" w:hAnsi="Arial" w:cs="Arial"/>
              </w:rPr>
            </w:pPr>
          </w:p>
          <w:p w14:paraId="3BDBB861" w14:textId="77777777" w:rsidR="000E4F81" w:rsidRDefault="000E4F81" w:rsidP="00457B35">
            <w:pPr>
              <w:rPr>
                <w:rFonts w:ascii="Arial" w:hAnsi="Arial" w:cs="Arial"/>
              </w:rPr>
            </w:pPr>
          </w:p>
          <w:p w14:paraId="773D3501" w14:textId="77777777" w:rsidR="000E4F81" w:rsidRDefault="000E4F81" w:rsidP="00457B35">
            <w:pPr>
              <w:rPr>
                <w:rFonts w:ascii="Arial" w:hAnsi="Arial" w:cs="Arial"/>
              </w:rPr>
            </w:pPr>
          </w:p>
          <w:p w14:paraId="02276A6B" w14:textId="77777777" w:rsidR="000E4F81" w:rsidRDefault="000E4F81" w:rsidP="00457B35">
            <w:pPr>
              <w:rPr>
                <w:rFonts w:ascii="Arial" w:hAnsi="Arial" w:cs="Arial"/>
              </w:rPr>
            </w:pPr>
          </w:p>
          <w:p w14:paraId="3D2A3282" w14:textId="77777777" w:rsidR="000E4F81" w:rsidRDefault="000E4F81" w:rsidP="00457B35">
            <w:pPr>
              <w:rPr>
                <w:rFonts w:ascii="Arial" w:hAnsi="Arial" w:cs="Arial"/>
              </w:rPr>
            </w:pPr>
          </w:p>
          <w:p w14:paraId="16E08271" w14:textId="77777777" w:rsidR="000E4F81" w:rsidRDefault="000E4F81" w:rsidP="00457B35">
            <w:pPr>
              <w:rPr>
                <w:rFonts w:ascii="Arial" w:hAnsi="Arial" w:cs="Arial"/>
              </w:rPr>
            </w:pPr>
          </w:p>
          <w:p w14:paraId="3DF8F208" w14:textId="77777777" w:rsidR="000E4F81" w:rsidRDefault="000E4F81" w:rsidP="00457B35">
            <w:pPr>
              <w:rPr>
                <w:rFonts w:ascii="Arial" w:hAnsi="Arial" w:cs="Arial"/>
              </w:rPr>
            </w:pPr>
          </w:p>
          <w:p w14:paraId="1269F39A" w14:textId="1053BEC6" w:rsidR="000E4F81" w:rsidRDefault="000E4F81" w:rsidP="00457B35">
            <w:pPr>
              <w:rPr>
                <w:rFonts w:ascii="Arial" w:hAnsi="Arial" w:cs="Arial"/>
              </w:rPr>
            </w:pPr>
          </w:p>
          <w:p w14:paraId="77CA7390" w14:textId="77777777" w:rsidR="00B90E86" w:rsidRDefault="00B90E86" w:rsidP="00457B35">
            <w:pPr>
              <w:rPr>
                <w:rFonts w:ascii="Arial" w:hAnsi="Arial" w:cs="Arial"/>
              </w:rPr>
            </w:pPr>
          </w:p>
          <w:p w14:paraId="05B3147E" w14:textId="2AD92995" w:rsidR="000E4F81" w:rsidRDefault="000E4F81" w:rsidP="00457B35">
            <w:pPr>
              <w:rPr>
                <w:rFonts w:ascii="Arial" w:hAnsi="Arial" w:cs="Arial"/>
              </w:rPr>
            </w:pPr>
          </w:p>
          <w:p w14:paraId="4225EC6E" w14:textId="77777777" w:rsidR="000E4F81" w:rsidRDefault="000E4F81" w:rsidP="00457B35">
            <w:pPr>
              <w:rPr>
                <w:rFonts w:ascii="Arial" w:hAnsi="Arial" w:cs="Arial"/>
              </w:rPr>
            </w:pPr>
          </w:p>
          <w:p w14:paraId="43EC1CD1" w14:textId="77777777" w:rsidR="000E4F81" w:rsidRPr="008111B2" w:rsidRDefault="000E4F81" w:rsidP="00457B35">
            <w:pPr>
              <w:rPr>
                <w:rFonts w:ascii="Arial" w:hAnsi="Arial" w:cs="Arial"/>
              </w:rPr>
            </w:pPr>
          </w:p>
          <w:p w14:paraId="541A4422" w14:textId="77777777" w:rsidR="000E4F81" w:rsidRDefault="000E4F81" w:rsidP="000E4F81">
            <w:pPr>
              <w:pStyle w:val="ListParagraph"/>
              <w:numPr>
                <w:ilvl w:val="0"/>
                <w:numId w:val="45"/>
              </w:numPr>
              <w:rPr>
                <w:rFonts w:ascii="Arial" w:hAnsi="Arial" w:cs="Arial"/>
              </w:rPr>
            </w:pPr>
            <w:r w:rsidRPr="00C916F7">
              <w:rPr>
                <w:rFonts w:ascii="Arial" w:hAnsi="Arial" w:cs="Arial"/>
              </w:rPr>
              <w:lastRenderedPageBreak/>
              <w:t xml:space="preserve">To obtain and disseminate accurate, comprehensive, timely and up to date information for Board and Committee decision-making; </w:t>
            </w:r>
          </w:p>
          <w:p w14:paraId="0EB4ADC3" w14:textId="77777777" w:rsidR="000E4F81" w:rsidRDefault="000E4F81" w:rsidP="00457B35">
            <w:pPr>
              <w:rPr>
                <w:rFonts w:ascii="Arial" w:hAnsi="Arial" w:cs="Arial"/>
              </w:rPr>
            </w:pPr>
          </w:p>
          <w:p w14:paraId="447ACA69" w14:textId="77777777" w:rsidR="000E4F81" w:rsidRDefault="000E4F81" w:rsidP="00457B35">
            <w:pPr>
              <w:rPr>
                <w:rFonts w:ascii="Arial" w:hAnsi="Arial" w:cs="Arial"/>
              </w:rPr>
            </w:pPr>
          </w:p>
          <w:p w14:paraId="35B3FD4E" w14:textId="77777777" w:rsidR="000E4F81" w:rsidRDefault="000E4F81" w:rsidP="00457B35">
            <w:pPr>
              <w:rPr>
                <w:rFonts w:ascii="Arial" w:hAnsi="Arial" w:cs="Arial"/>
              </w:rPr>
            </w:pPr>
          </w:p>
          <w:p w14:paraId="55096709" w14:textId="77777777" w:rsidR="000E4F81" w:rsidRDefault="000E4F81" w:rsidP="00457B35">
            <w:pPr>
              <w:rPr>
                <w:rFonts w:ascii="Arial" w:hAnsi="Arial" w:cs="Arial"/>
              </w:rPr>
            </w:pPr>
          </w:p>
          <w:p w14:paraId="64C2ABF8" w14:textId="77777777" w:rsidR="000E4F81" w:rsidRDefault="000E4F81" w:rsidP="00457B35">
            <w:pPr>
              <w:rPr>
                <w:rFonts w:ascii="Arial" w:hAnsi="Arial" w:cs="Arial"/>
              </w:rPr>
            </w:pPr>
          </w:p>
          <w:p w14:paraId="5523E2A1" w14:textId="77777777" w:rsidR="000E4F81" w:rsidRDefault="000E4F81" w:rsidP="00457B35">
            <w:pPr>
              <w:rPr>
                <w:rFonts w:ascii="Arial" w:hAnsi="Arial" w:cs="Arial"/>
              </w:rPr>
            </w:pPr>
          </w:p>
          <w:p w14:paraId="5CBA27A8" w14:textId="5135D1DE" w:rsidR="000E4F81" w:rsidRDefault="000E4F81" w:rsidP="00457B35">
            <w:pPr>
              <w:rPr>
                <w:rFonts w:ascii="Arial" w:hAnsi="Arial" w:cs="Arial"/>
              </w:rPr>
            </w:pPr>
          </w:p>
          <w:p w14:paraId="18C11D06" w14:textId="77777777" w:rsidR="00F7170A" w:rsidRDefault="00F7170A" w:rsidP="00457B35">
            <w:pPr>
              <w:rPr>
                <w:rFonts w:ascii="Arial" w:hAnsi="Arial" w:cs="Arial"/>
              </w:rPr>
            </w:pPr>
          </w:p>
          <w:p w14:paraId="6C978CE1" w14:textId="77777777" w:rsidR="00B90E86" w:rsidRPr="008111B2" w:rsidRDefault="00B90E86" w:rsidP="00457B35">
            <w:pPr>
              <w:rPr>
                <w:rFonts w:ascii="Arial" w:hAnsi="Arial" w:cs="Arial"/>
              </w:rPr>
            </w:pPr>
          </w:p>
          <w:p w14:paraId="6C904AD2" w14:textId="77777777" w:rsidR="000E4F81" w:rsidRDefault="000E4F81" w:rsidP="000E4F81">
            <w:pPr>
              <w:pStyle w:val="ListParagraph"/>
              <w:numPr>
                <w:ilvl w:val="0"/>
                <w:numId w:val="45"/>
              </w:numPr>
              <w:rPr>
                <w:rFonts w:ascii="Arial" w:hAnsi="Arial" w:cs="Arial"/>
              </w:rPr>
            </w:pPr>
            <w:r w:rsidRPr="00C916F7">
              <w:rPr>
                <w:rFonts w:ascii="Arial" w:hAnsi="Arial" w:cs="Arial"/>
              </w:rPr>
              <w:t>To identify and manage (</w:t>
            </w:r>
            <w:r w:rsidRPr="00DA4830">
              <w:rPr>
                <w:rFonts w:ascii="Arial" w:hAnsi="Arial" w:cs="Arial"/>
                <w:i/>
              </w:rPr>
              <w:t>including but not restricted to manage through forward plans</w:t>
            </w:r>
            <w:r w:rsidRPr="00C916F7">
              <w:rPr>
                <w:rFonts w:ascii="Arial" w:hAnsi="Arial" w:cs="Arial"/>
              </w:rPr>
              <w:t>) material risks to compliance with the Conditions of its Licence</w:t>
            </w:r>
            <w:r>
              <w:rPr>
                <w:rFonts w:ascii="Arial" w:hAnsi="Arial" w:cs="Arial"/>
              </w:rPr>
              <w:t>;</w:t>
            </w:r>
          </w:p>
          <w:p w14:paraId="76933E9D" w14:textId="77777777" w:rsidR="000E4F81" w:rsidRDefault="000E4F81" w:rsidP="00457B35">
            <w:pPr>
              <w:rPr>
                <w:rFonts w:ascii="Arial" w:hAnsi="Arial" w:cs="Arial"/>
              </w:rPr>
            </w:pPr>
          </w:p>
          <w:p w14:paraId="09D615A2" w14:textId="77777777" w:rsidR="000E4F81" w:rsidRDefault="000E4F81" w:rsidP="00457B35">
            <w:pPr>
              <w:rPr>
                <w:rFonts w:ascii="Arial" w:hAnsi="Arial" w:cs="Arial"/>
              </w:rPr>
            </w:pPr>
          </w:p>
          <w:p w14:paraId="7508A06B" w14:textId="77777777" w:rsidR="000E4F81" w:rsidRDefault="000E4F81" w:rsidP="00457B35">
            <w:pPr>
              <w:rPr>
                <w:rFonts w:ascii="Arial" w:hAnsi="Arial" w:cs="Arial"/>
              </w:rPr>
            </w:pPr>
            <w:r w:rsidRPr="008111B2">
              <w:rPr>
                <w:rFonts w:ascii="Arial" w:hAnsi="Arial" w:cs="Arial"/>
              </w:rPr>
              <w:t xml:space="preserve"> </w:t>
            </w:r>
          </w:p>
          <w:p w14:paraId="66FF2E64" w14:textId="77777777" w:rsidR="000E4F81" w:rsidRDefault="000E4F81" w:rsidP="00457B35">
            <w:pPr>
              <w:rPr>
                <w:rFonts w:ascii="Arial" w:hAnsi="Arial" w:cs="Arial"/>
              </w:rPr>
            </w:pPr>
          </w:p>
          <w:p w14:paraId="66A3A68A" w14:textId="77777777" w:rsidR="000E4F81" w:rsidRDefault="000E4F81" w:rsidP="00457B35">
            <w:pPr>
              <w:rPr>
                <w:rFonts w:ascii="Arial" w:hAnsi="Arial" w:cs="Arial"/>
              </w:rPr>
            </w:pPr>
          </w:p>
          <w:p w14:paraId="2F38F1C6" w14:textId="65CB7B58" w:rsidR="000E4F81" w:rsidRDefault="000E4F81" w:rsidP="00457B35">
            <w:pPr>
              <w:rPr>
                <w:rFonts w:ascii="Arial" w:hAnsi="Arial" w:cs="Arial"/>
              </w:rPr>
            </w:pPr>
          </w:p>
          <w:p w14:paraId="4A47DB93" w14:textId="41BF72DD" w:rsidR="00B90E86" w:rsidRDefault="00B90E86" w:rsidP="00457B35">
            <w:pPr>
              <w:rPr>
                <w:rFonts w:ascii="Arial" w:hAnsi="Arial" w:cs="Arial"/>
              </w:rPr>
            </w:pPr>
          </w:p>
          <w:p w14:paraId="68A667AB" w14:textId="52E3EDBA" w:rsidR="00B90E86" w:rsidRDefault="00B90E86" w:rsidP="00457B35">
            <w:pPr>
              <w:rPr>
                <w:rFonts w:ascii="Arial" w:hAnsi="Arial" w:cs="Arial"/>
              </w:rPr>
            </w:pPr>
          </w:p>
          <w:p w14:paraId="0D23D3E9" w14:textId="77777777" w:rsidR="00B90E86" w:rsidRDefault="00B90E86" w:rsidP="00457B35">
            <w:pPr>
              <w:rPr>
                <w:rFonts w:ascii="Arial" w:hAnsi="Arial" w:cs="Arial"/>
              </w:rPr>
            </w:pPr>
          </w:p>
          <w:p w14:paraId="369FF326" w14:textId="77777777" w:rsidR="000E4F81" w:rsidRPr="008111B2" w:rsidRDefault="000E4F81" w:rsidP="00457B35">
            <w:pPr>
              <w:rPr>
                <w:rFonts w:ascii="Arial" w:hAnsi="Arial" w:cs="Arial"/>
              </w:rPr>
            </w:pPr>
          </w:p>
          <w:p w14:paraId="313FD7D1" w14:textId="77777777" w:rsidR="000E4F81" w:rsidRDefault="000E4F81" w:rsidP="000E4F81">
            <w:pPr>
              <w:pStyle w:val="ListParagraph"/>
              <w:numPr>
                <w:ilvl w:val="0"/>
                <w:numId w:val="45"/>
              </w:numPr>
              <w:rPr>
                <w:rFonts w:ascii="Arial" w:hAnsi="Arial" w:cs="Arial"/>
              </w:rPr>
            </w:pPr>
            <w:r w:rsidRPr="00C916F7">
              <w:rPr>
                <w:rFonts w:ascii="Arial" w:hAnsi="Arial" w:cs="Arial"/>
              </w:rPr>
              <w:t xml:space="preserve">To generate and monitor NHS Improvement delivery of business plans </w:t>
            </w:r>
            <w:r w:rsidRPr="00DA4830">
              <w:rPr>
                <w:rFonts w:ascii="Arial" w:hAnsi="Arial" w:cs="Arial"/>
                <w:i/>
              </w:rPr>
              <w:t>(including any changes to such plans</w:t>
            </w:r>
            <w:r w:rsidRPr="00C916F7">
              <w:rPr>
                <w:rFonts w:ascii="Arial" w:hAnsi="Arial" w:cs="Arial"/>
              </w:rPr>
              <w:t xml:space="preserve">) and to receive internal and where appropriate external assurance on such plans and their delivery; and </w:t>
            </w:r>
          </w:p>
          <w:p w14:paraId="79472CB0" w14:textId="77777777" w:rsidR="000E4F81" w:rsidRPr="007A07FE" w:rsidRDefault="000E4F81" w:rsidP="00457B35">
            <w:pPr>
              <w:rPr>
                <w:rFonts w:ascii="Arial" w:hAnsi="Arial" w:cs="Arial"/>
              </w:rPr>
            </w:pPr>
          </w:p>
          <w:p w14:paraId="3A8A4BE2" w14:textId="77777777" w:rsidR="000E4F81" w:rsidRPr="00C916F7" w:rsidRDefault="000E4F81" w:rsidP="000E4F81">
            <w:pPr>
              <w:pStyle w:val="ListParagraph"/>
              <w:numPr>
                <w:ilvl w:val="0"/>
                <w:numId w:val="45"/>
              </w:numPr>
              <w:rPr>
                <w:rFonts w:ascii="Arial" w:hAnsi="Arial" w:cs="Arial"/>
              </w:rPr>
            </w:pPr>
            <w:r w:rsidRPr="00C916F7">
              <w:rPr>
                <w:rFonts w:ascii="Arial" w:hAnsi="Arial" w:cs="Arial"/>
              </w:rPr>
              <w:t>To ensure compliance with all applicable legal requirements.</w:t>
            </w:r>
          </w:p>
        </w:tc>
        <w:tc>
          <w:tcPr>
            <w:tcW w:w="7088" w:type="dxa"/>
          </w:tcPr>
          <w:p w14:paraId="668DDEF6" w14:textId="77777777" w:rsidR="000E4F81" w:rsidRDefault="000E4F81" w:rsidP="00457B35">
            <w:pPr>
              <w:rPr>
                <w:rFonts w:ascii="Arial" w:hAnsi="Arial" w:cs="Arial"/>
                <w:b/>
              </w:rPr>
            </w:pPr>
            <w:r>
              <w:rPr>
                <w:rFonts w:ascii="Arial" w:hAnsi="Arial" w:cs="Arial"/>
                <w:b/>
              </w:rPr>
              <w:lastRenderedPageBreak/>
              <w:t>Confirmed</w:t>
            </w:r>
          </w:p>
          <w:p w14:paraId="6BAF769B" w14:textId="77777777" w:rsidR="000E4F81" w:rsidRDefault="000E4F81" w:rsidP="00457B35">
            <w:pPr>
              <w:rPr>
                <w:rFonts w:ascii="Arial" w:hAnsi="Arial" w:cs="Arial"/>
              </w:rPr>
            </w:pPr>
            <w:r>
              <w:rPr>
                <w:rFonts w:ascii="Arial" w:hAnsi="Arial" w:cs="Arial"/>
              </w:rPr>
              <w:t>The</w:t>
            </w:r>
            <w:r w:rsidRPr="00C916F7">
              <w:rPr>
                <w:rFonts w:ascii="Arial" w:hAnsi="Arial" w:cs="Arial"/>
              </w:rPr>
              <w:t xml:space="preserve"> Board’</w:t>
            </w:r>
            <w:r>
              <w:rPr>
                <w:rFonts w:ascii="Arial" w:hAnsi="Arial" w:cs="Arial"/>
              </w:rPr>
              <w:t>s infrastructure includes Board scrutiny/assurance C</w:t>
            </w:r>
            <w:r w:rsidRPr="00C916F7">
              <w:rPr>
                <w:rFonts w:ascii="Arial" w:hAnsi="Arial" w:cs="Arial"/>
              </w:rPr>
              <w:t xml:space="preserve">ommittees </w:t>
            </w:r>
            <w:r>
              <w:rPr>
                <w:rFonts w:ascii="Arial" w:hAnsi="Arial" w:cs="Arial"/>
              </w:rPr>
              <w:t>and</w:t>
            </w:r>
            <w:r w:rsidRPr="00C916F7">
              <w:rPr>
                <w:rFonts w:ascii="Arial" w:hAnsi="Arial" w:cs="Arial"/>
              </w:rPr>
              <w:t xml:space="preserve"> various operational groups, </w:t>
            </w:r>
            <w:r>
              <w:rPr>
                <w:rFonts w:ascii="Arial" w:hAnsi="Arial" w:cs="Arial"/>
              </w:rPr>
              <w:t xml:space="preserve">to </w:t>
            </w:r>
            <w:r w:rsidRPr="00C916F7">
              <w:rPr>
                <w:rFonts w:ascii="Arial" w:hAnsi="Arial" w:cs="Arial"/>
              </w:rPr>
              <w:t>ensure</w:t>
            </w:r>
            <w:r>
              <w:rPr>
                <w:rFonts w:ascii="Arial" w:hAnsi="Arial" w:cs="Arial"/>
              </w:rPr>
              <w:t xml:space="preserve"> that the Board of Directors can be </w:t>
            </w:r>
            <w:r w:rsidRPr="00C916F7">
              <w:rPr>
                <w:rFonts w:ascii="Arial" w:hAnsi="Arial" w:cs="Arial"/>
              </w:rPr>
              <w:t xml:space="preserve">assured that the organisation’s decisions and business are monitored effectively and efficiently. </w:t>
            </w:r>
          </w:p>
          <w:p w14:paraId="45660016" w14:textId="77777777" w:rsidR="000E4F81" w:rsidRDefault="000E4F81" w:rsidP="00457B35">
            <w:pPr>
              <w:rPr>
                <w:rFonts w:ascii="Arial" w:hAnsi="Arial" w:cs="Arial"/>
              </w:rPr>
            </w:pPr>
          </w:p>
          <w:p w14:paraId="751E157E" w14:textId="77777777" w:rsidR="000E4F81" w:rsidRPr="00C916F7" w:rsidRDefault="000E4F81" w:rsidP="00457B35">
            <w:pPr>
              <w:rPr>
                <w:rFonts w:ascii="Arial" w:hAnsi="Arial" w:cs="Arial"/>
              </w:rPr>
            </w:pPr>
            <w:r w:rsidRPr="00C916F7">
              <w:rPr>
                <w:rFonts w:ascii="Arial" w:hAnsi="Arial" w:cs="Arial"/>
              </w:rPr>
              <w:t>There are clear escalation</w:t>
            </w:r>
            <w:r>
              <w:rPr>
                <w:rFonts w:ascii="Arial" w:hAnsi="Arial" w:cs="Arial"/>
              </w:rPr>
              <w:t xml:space="preserve"> </w:t>
            </w:r>
            <w:r w:rsidRPr="00C916F7">
              <w:rPr>
                <w:rFonts w:ascii="Arial" w:hAnsi="Arial" w:cs="Arial"/>
              </w:rPr>
              <w:t xml:space="preserve">routes up to the Board of Directors (as described above).  </w:t>
            </w:r>
          </w:p>
          <w:p w14:paraId="1E2B8A3F" w14:textId="77777777" w:rsidR="000E4F81" w:rsidRDefault="000E4F81" w:rsidP="00457B35">
            <w:pPr>
              <w:rPr>
                <w:rFonts w:ascii="Arial" w:hAnsi="Arial" w:cs="Arial"/>
              </w:rPr>
            </w:pPr>
            <w:r w:rsidRPr="00C916F7">
              <w:rPr>
                <w:rFonts w:ascii="Arial" w:hAnsi="Arial" w:cs="Arial"/>
              </w:rPr>
              <w:t xml:space="preserve"> </w:t>
            </w:r>
          </w:p>
          <w:p w14:paraId="076355F4" w14:textId="01C1234C" w:rsidR="000E4F81" w:rsidRDefault="000E4F81" w:rsidP="00457B35">
            <w:pPr>
              <w:rPr>
                <w:rFonts w:ascii="Arial" w:hAnsi="Arial" w:cs="Arial"/>
              </w:rPr>
            </w:pPr>
            <w:r w:rsidRPr="00C916F7">
              <w:rPr>
                <w:rFonts w:ascii="Arial" w:hAnsi="Arial" w:cs="Arial"/>
              </w:rPr>
              <w:t xml:space="preserve">b) </w:t>
            </w:r>
            <w:r>
              <w:rPr>
                <w:rFonts w:ascii="Arial" w:hAnsi="Arial" w:cs="Arial"/>
              </w:rPr>
              <w:t>S</w:t>
            </w:r>
            <w:r w:rsidR="00226ADE">
              <w:rPr>
                <w:rFonts w:ascii="Arial" w:hAnsi="Arial" w:cs="Arial"/>
              </w:rPr>
              <w:t>DR</w:t>
            </w:r>
            <w:r w:rsidRPr="00C916F7">
              <w:rPr>
                <w:rFonts w:ascii="Arial" w:hAnsi="Arial" w:cs="Arial"/>
              </w:rPr>
              <w:t xml:space="preserve"> and </w:t>
            </w:r>
            <w:r>
              <w:rPr>
                <w:rFonts w:ascii="Arial" w:hAnsi="Arial" w:cs="Arial"/>
              </w:rPr>
              <w:t>supporting groups</w:t>
            </w:r>
            <w:r w:rsidRPr="00C916F7">
              <w:rPr>
                <w:rFonts w:ascii="Arial" w:hAnsi="Arial" w:cs="Arial"/>
              </w:rPr>
              <w:t xml:space="preserve"> scrutinise key areas of performance including quality, workforce, </w:t>
            </w:r>
            <w:proofErr w:type="gramStart"/>
            <w:r w:rsidRPr="00C916F7">
              <w:rPr>
                <w:rFonts w:ascii="Arial" w:hAnsi="Arial" w:cs="Arial"/>
              </w:rPr>
              <w:t>finance</w:t>
            </w:r>
            <w:proofErr w:type="gramEnd"/>
            <w:r w:rsidRPr="00C916F7">
              <w:rPr>
                <w:rFonts w:ascii="Arial" w:hAnsi="Arial" w:cs="Arial"/>
              </w:rPr>
              <w:t xml:space="preserve">, operational and contractual. </w:t>
            </w:r>
            <w:r>
              <w:rPr>
                <w:rFonts w:ascii="Arial" w:hAnsi="Arial" w:cs="Arial"/>
              </w:rPr>
              <w:t>The C</w:t>
            </w:r>
            <w:r w:rsidRPr="00C916F7">
              <w:rPr>
                <w:rFonts w:ascii="Arial" w:hAnsi="Arial" w:cs="Arial"/>
              </w:rPr>
              <w:t xml:space="preserve">ommittees review performance and risk by exception (and in accordance with </w:t>
            </w:r>
            <w:proofErr w:type="spellStart"/>
            <w:r w:rsidRPr="00C916F7">
              <w:rPr>
                <w:rFonts w:ascii="Arial" w:hAnsi="Arial" w:cs="Arial"/>
              </w:rPr>
              <w:t>ToR</w:t>
            </w:r>
            <w:proofErr w:type="spellEnd"/>
            <w:r w:rsidRPr="00C916F7">
              <w:rPr>
                <w:rFonts w:ascii="Arial" w:hAnsi="Arial" w:cs="Arial"/>
              </w:rPr>
              <w:t xml:space="preserve">) at each meeting and subsequently provide </w:t>
            </w:r>
            <w:r w:rsidRPr="00C916F7">
              <w:rPr>
                <w:rFonts w:ascii="Arial" w:hAnsi="Arial" w:cs="Arial"/>
              </w:rPr>
              <w:lastRenderedPageBreak/>
              <w:t xml:space="preserve">assurance to the Board of Directors through </w:t>
            </w:r>
            <w:r>
              <w:rPr>
                <w:rFonts w:ascii="Arial" w:hAnsi="Arial" w:cs="Arial"/>
              </w:rPr>
              <w:t>the Chair’s reports</w:t>
            </w:r>
            <w:r w:rsidRPr="00C916F7">
              <w:rPr>
                <w:rFonts w:ascii="Arial" w:hAnsi="Arial" w:cs="Arial"/>
              </w:rPr>
              <w:t xml:space="preserve"> highlighting any key recommendations or key risks identified. </w:t>
            </w:r>
          </w:p>
          <w:p w14:paraId="08E51490" w14:textId="77777777" w:rsidR="000E4F81" w:rsidRPr="00C916F7" w:rsidRDefault="000E4F81" w:rsidP="00457B35">
            <w:pPr>
              <w:rPr>
                <w:rFonts w:ascii="Arial" w:hAnsi="Arial" w:cs="Arial"/>
              </w:rPr>
            </w:pPr>
          </w:p>
          <w:p w14:paraId="57527E26" w14:textId="25C6D3D3" w:rsidR="000E4F81" w:rsidRDefault="000E4F81" w:rsidP="00457B35">
            <w:pPr>
              <w:rPr>
                <w:rFonts w:ascii="Arial" w:hAnsi="Arial" w:cs="Arial"/>
              </w:rPr>
            </w:pPr>
            <w:r w:rsidRPr="00C916F7">
              <w:rPr>
                <w:rFonts w:ascii="Arial" w:hAnsi="Arial" w:cs="Arial"/>
              </w:rPr>
              <w:t xml:space="preserve"> c) The Quality Committee reviews the patient experience and quality report, with qu</w:t>
            </w:r>
            <w:r>
              <w:rPr>
                <w:rFonts w:ascii="Arial" w:hAnsi="Arial" w:cs="Arial"/>
              </w:rPr>
              <w:t>ality performance data available and the</w:t>
            </w:r>
            <w:r w:rsidRPr="00C916F7">
              <w:rPr>
                <w:rFonts w:ascii="Arial" w:hAnsi="Arial" w:cs="Arial"/>
              </w:rPr>
              <w:t xml:space="preserve"> Trust’s compliance with CQC fundamental standards using an on-line tool to support service self-assessments against the CQC domains. </w:t>
            </w:r>
            <w:r>
              <w:rPr>
                <w:rFonts w:ascii="Arial" w:hAnsi="Arial" w:cs="Arial"/>
              </w:rPr>
              <w:t xml:space="preserve"> </w:t>
            </w:r>
          </w:p>
          <w:p w14:paraId="12BE6D98" w14:textId="77777777" w:rsidR="000E4F81" w:rsidRDefault="000E4F81" w:rsidP="00457B35">
            <w:pPr>
              <w:rPr>
                <w:rFonts w:ascii="Arial" w:hAnsi="Arial" w:cs="Arial"/>
              </w:rPr>
            </w:pPr>
          </w:p>
          <w:p w14:paraId="2E7F2860" w14:textId="77777777" w:rsidR="000E4F81" w:rsidRDefault="000E4F81" w:rsidP="00457B35">
            <w:pPr>
              <w:rPr>
                <w:rFonts w:ascii="Arial" w:hAnsi="Arial" w:cs="Arial"/>
              </w:rPr>
            </w:pPr>
            <w:r w:rsidRPr="00C916F7">
              <w:rPr>
                <w:rFonts w:ascii="Arial" w:hAnsi="Arial" w:cs="Arial"/>
              </w:rPr>
              <w:t xml:space="preserve">An approved Quality Improvement and Audit Programme is in place, overseen by the Audit Committee. </w:t>
            </w:r>
          </w:p>
          <w:p w14:paraId="5F3CC1A4" w14:textId="77777777" w:rsidR="000E4F81" w:rsidRDefault="000E4F81" w:rsidP="00457B35">
            <w:pPr>
              <w:rPr>
                <w:rFonts w:ascii="Arial" w:hAnsi="Arial" w:cs="Arial"/>
              </w:rPr>
            </w:pPr>
          </w:p>
          <w:p w14:paraId="38DD9775" w14:textId="708248F5" w:rsidR="000E4F81" w:rsidRDefault="000E4F81" w:rsidP="00457B35">
            <w:pPr>
              <w:rPr>
                <w:rFonts w:ascii="Arial" w:hAnsi="Arial" w:cs="Arial"/>
              </w:rPr>
            </w:pPr>
            <w:r>
              <w:rPr>
                <w:rFonts w:ascii="Arial" w:hAnsi="Arial" w:cs="Arial"/>
              </w:rPr>
              <w:t>The Trust will also produce a Quality Account in accordance with regulatory requirements.</w:t>
            </w:r>
            <w:r w:rsidR="00F7170A">
              <w:rPr>
                <w:rFonts w:ascii="Arial" w:hAnsi="Arial" w:cs="Arial"/>
              </w:rPr>
              <w:t xml:space="preserve">  This will be published in June 2025.</w:t>
            </w:r>
          </w:p>
          <w:p w14:paraId="2808260B" w14:textId="77777777" w:rsidR="000E4F81" w:rsidRDefault="000E4F81" w:rsidP="00457B35">
            <w:pPr>
              <w:rPr>
                <w:rFonts w:ascii="Arial" w:hAnsi="Arial" w:cs="Arial"/>
              </w:rPr>
            </w:pPr>
          </w:p>
          <w:p w14:paraId="5BA832DC" w14:textId="77777777" w:rsidR="000E4F81" w:rsidRPr="00C916F7" w:rsidRDefault="000E4F81" w:rsidP="00457B35">
            <w:pPr>
              <w:rPr>
                <w:rFonts w:ascii="Arial" w:hAnsi="Arial" w:cs="Arial"/>
              </w:rPr>
            </w:pPr>
            <w:r w:rsidRPr="00C916F7">
              <w:rPr>
                <w:rFonts w:ascii="Arial" w:hAnsi="Arial" w:cs="Arial"/>
              </w:rPr>
              <w:t xml:space="preserve">  </w:t>
            </w:r>
          </w:p>
          <w:p w14:paraId="5EB40AF8" w14:textId="01979510" w:rsidR="000E4F81" w:rsidRDefault="000E4F81" w:rsidP="00457B35">
            <w:pPr>
              <w:rPr>
                <w:rFonts w:ascii="Arial" w:hAnsi="Arial" w:cs="Arial"/>
              </w:rPr>
            </w:pPr>
            <w:r w:rsidRPr="00C916F7">
              <w:rPr>
                <w:rFonts w:ascii="Arial" w:hAnsi="Arial" w:cs="Arial"/>
              </w:rPr>
              <w:t xml:space="preserve"> d) The Trust reviewed its Standing Financial Instructions (SFIs) </w:t>
            </w:r>
            <w:r>
              <w:rPr>
                <w:rFonts w:ascii="Arial" w:hAnsi="Arial" w:cs="Arial"/>
              </w:rPr>
              <w:t>in 2019/20</w:t>
            </w:r>
            <w:r w:rsidRPr="00C916F7">
              <w:rPr>
                <w:rFonts w:ascii="Arial" w:hAnsi="Arial" w:cs="Arial"/>
              </w:rPr>
              <w:t xml:space="preserve"> to reflect current procurement practices</w:t>
            </w:r>
            <w:r>
              <w:rPr>
                <w:rFonts w:ascii="Arial" w:hAnsi="Arial" w:cs="Arial"/>
              </w:rPr>
              <w:t xml:space="preserve"> and to respond to COVID</w:t>
            </w:r>
            <w:r w:rsidRPr="00C916F7">
              <w:rPr>
                <w:rFonts w:ascii="Arial" w:hAnsi="Arial" w:cs="Arial"/>
              </w:rPr>
              <w:t xml:space="preserve">; this determines the agreed framework for financial decision making, management and control. </w:t>
            </w:r>
            <w:r>
              <w:rPr>
                <w:rFonts w:ascii="Arial" w:hAnsi="Arial" w:cs="Arial"/>
              </w:rPr>
              <w:t xml:space="preserve">Follow consideration by the Audit Committee and Board these temporary changes were made permanent in 2020/21. </w:t>
            </w:r>
            <w:r w:rsidR="00B90E86">
              <w:rPr>
                <w:rFonts w:ascii="Arial" w:hAnsi="Arial" w:cs="Arial"/>
              </w:rPr>
              <w:t xml:space="preserve"> The SFIs </w:t>
            </w:r>
            <w:r w:rsidR="00226ADE">
              <w:rPr>
                <w:rFonts w:ascii="Arial" w:hAnsi="Arial" w:cs="Arial"/>
              </w:rPr>
              <w:t>have been reviewed in 2024-25 with further work planned for 2025-26.</w:t>
            </w:r>
          </w:p>
          <w:p w14:paraId="3C15BF42" w14:textId="77777777" w:rsidR="000E4F81" w:rsidRDefault="000E4F81" w:rsidP="00457B35">
            <w:pPr>
              <w:rPr>
                <w:rFonts w:ascii="Arial" w:hAnsi="Arial" w:cs="Arial"/>
              </w:rPr>
            </w:pPr>
          </w:p>
          <w:p w14:paraId="295727C9" w14:textId="77777777" w:rsidR="000E4F81" w:rsidRDefault="000E4F81" w:rsidP="00457B35">
            <w:pPr>
              <w:rPr>
                <w:rFonts w:ascii="Arial" w:hAnsi="Arial" w:cs="Arial"/>
              </w:rPr>
            </w:pPr>
            <w:r w:rsidRPr="00C916F7">
              <w:rPr>
                <w:rFonts w:ascii="Arial" w:hAnsi="Arial" w:cs="Arial"/>
              </w:rPr>
              <w:t xml:space="preserve">Systems of internal control are in place and are subject to regular audit </w:t>
            </w:r>
            <w:r>
              <w:rPr>
                <w:rFonts w:ascii="Arial" w:hAnsi="Arial" w:cs="Arial"/>
              </w:rPr>
              <w:t>on an annual basis through the T</w:t>
            </w:r>
            <w:r w:rsidRPr="00C916F7">
              <w:rPr>
                <w:rFonts w:ascii="Arial" w:hAnsi="Arial" w:cs="Arial"/>
              </w:rPr>
              <w:t xml:space="preserve">rust’s internal audit programme and by external auditors. </w:t>
            </w:r>
          </w:p>
          <w:p w14:paraId="0F9E1793" w14:textId="77777777" w:rsidR="000E4F81" w:rsidRDefault="000E4F81" w:rsidP="00457B35">
            <w:pPr>
              <w:rPr>
                <w:rFonts w:ascii="Arial" w:hAnsi="Arial" w:cs="Arial"/>
              </w:rPr>
            </w:pPr>
          </w:p>
          <w:p w14:paraId="3EFB15CE" w14:textId="77777777" w:rsidR="000E4F81" w:rsidRDefault="000E4F81" w:rsidP="00457B35">
            <w:pPr>
              <w:rPr>
                <w:rFonts w:ascii="Arial" w:hAnsi="Arial" w:cs="Arial"/>
              </w:rPr>
            </w:pPr>
            <w:r w:rsidRPr="00C916F7">
              <w:rPr>
                <w:rFonts w:ascii="Arial" w:hAnsi="Arial" w:cs="Arial"/>
              </w:rPr>
              <w:t xml:space="preserve">The </w:t>
            </w:r>
            <w:r>
              <w:rPr>
                <w:rFonts w:ascii="Arial" w:hAnsi="Arial" w:cs="Arial"/>
              </w:rPr>
              <w:t>Resource</w:t>
            </w:r>
            <w:r w:rsidRPr="00C916F7">
              <w:rPr>
                <w:rFonts w:ascii="Arial" w:hAnsi="Arial" w:cs="Arial"/>
              </w:rPr>
              <w:t xml:space="preserve"> Committee and Aud</w:t>
            </w:r>
            <w:r>
              <w:rPr>
                <w:rFonts w:ascii="Arial" w:hAnsi="Arial" w:cs="Arial"/>
              </w:rPr>
              <w:t>it Committee are the principal C</w:t>
            </w:r>
            <w:r w:rsidRPr="00C916F7">
              <w:rPr>
                <w:rFonts w:ascii="Arial" w:hAnsi="Arial" w:cs="Arial"/>
              </w:rPr>
              <w:t>ommittees that maintain oversight</w:t>
            </w:r>
            <w:r>
              <w:rPr>
                <w:rFonts w:ascii="Arial" w:hAnsi="Arial" w:cs="Arial"/>
              </w:rPr>
              <w:t xml:space="preserve"> on this area</w:t>
            </w:r>
            <w:r w:rsidRPr="00C916F7">
              <w:rPr>
                <w:rFonts w:ascii="Arial" w:hAnsi="Arial" w:cs="Arial"/>
              </w:rPr>
              <w:t xml:space="preserve">. </w:t>
            </w:r>
            <w:r>
              <w:rPr>
                <w:rFonts w:ascii="Arial" w:hAnsi="Arial" w:cs="Arial"/>
              </w:rPr>
              <w:t xml:space="preserve">It is determined that there </w:t>
            </w:r>
            <w:r w:rsidRPr="00C916F7">
              <w:rPr>
                <w:rFonts w:ascii="Arial" w:hAnsi="Arial" w:cs="Arial"/>
              </w:rPr>
              <w:t>are robust systems and processes in place to monit</w:t>
            </w:r>
            <w:r>
              <w:rPr>
                <w:rFonts w:ascii="Arial" w:hAnsi="Arial" w:cs="Arial"/>
              </w:rPr>
              <w:t>or and oversee all CIP schemes.</w:t>
            </w:r>
          </w:p>
          <w:p w14:paraId="41804A8A" w14:textId="77777777" w:rsidR="000E4F81" w:rsidRDefault="000E4F81" w:rsidP="00457B35">
            <w:pPr>
              <w:rPr>
                <w:rFonts w:ascii="Arial" w:hAnsi="Arial" w:cs="Arial"/>
              </w:rPr>
            </w:pPr>
          </w:p>
          <w:p w14:paraId="71B86DA4" w14:textId="77777777" w:rsidR="000E4F81" w:rsidRDefault="000E4F81" w:rsidP="00457B35">
            <w:pPr>
              <w:rPr>
                <w:rFonts w:ascii="Arial" w:hAnsi="Arial" w:cs="Arial"/>
              </w:rPr>
            </w:pPr>
            <w:r>
              <w:rPr>
                <w:rFonts w:ascii="Arial" w:hAnsi="Arial" w:cs="Arial"/>
              </w:rPr>
              <w:t>The T</w:t>
            </w:r>
            <w:r w:rsidRPr="00C916F7">
              <w:rPr>
                <w:rFonts w:ascii="Arial" w:hAnsi="Arial" w:cs="Arial"/>
              </w:rPr>
              <w:t xml:space="preserve">rust has a good track record of effective financial management and of achieving </w:t>
            </w:r>
            <w:r>
              <w:rPr>
                <w:rFonts w:ascii="Arial" w:hAnsi="Arial" w:cs="Arial"/>
              </w:rPr>
              <w:t xml:space="preserve">its </w:t>
            </w:r>
            <w:r w:rsidRPr="00C916F7">
              <w:rPr>
                <w:rFonts w:ascii="Arial" w:hAnsi="Arial" w:cs="Arial"/>
              </w:rPr>
              <w:t>statutory financial duties</w:t>
            </w:r>
            <w:r>
              <w:rPr>
                <w:rFonts w:ascii="Arial" w:hAnsi="Arial" w:cs="Arial"/>
              </w:rPr>
              <w:t xml:space="preserve"> and this is of particular note during the COVID pandemic period</w:t>
            </w:r>
            <w:r w:rsidRPr="00C916F7">
              <w:rPr>
                <w:rFonts w:ascii="Arial" w:hAnsi="Arial" w:cs="Arial"/>
              </w:rPr>
              <w:t xml:space="preserve">.  </w:t>
            </w:r>
          </w:p>
          <w:p w14:paraId="4B5320CB" w14:textId="77777777" w:rsidR="000E4F81" w:rsidRPr="00C916F7" w:rsidRDefault="000E4F81" w:rsidP="00457B35">
            <w:pPr>
              <w:rPr>
                <w:rFonts w:ascii="Arial" w:hAnsi="Arial" w:cs="Arial"/>
              </w:rPr>
            </w:pPr>
          </w:p>
          <w:p w14:paraId="4F1DDB18" w14:textId="77777777" w:rsidR="000E4F81" w:rsidRDefault="000E4F81" w:rsidP="00457B35">
            <w:pPr>
              <w:rPr>
                <w:rFonts w:ascii="Arial" w:hAnsi="Arial" w:cs="Arial"/>
              </w:rPr>
            </w:pPr>
            <w:r>
              <w:rPr>
                <w:rFonts w:ascii="Arial" w:hAnsi="Arial" w:cs="Arial"/>
              </w:rPr>
              <w:lastRenderedPageBreak/>
              <w:t xml:space="preserve"> e) The Board and C</w:t>
            </w:r>
            <w:r w:rsidRPr="00C916F7">
              <w:rPr>
                <w:rFonts w:ascii="Arial" w:hAnsi="Arial" w:cs="Arial"/>
              </w:rPr>
              <w:t xml:space="preserve">ommittee meeting dates are scheduled to allow the most up-to-date information </w:t>
            </w:r>
            <w:r>
              <w:rPr>
                <w:rFonts w:ascii="Arial" w:hAnsi="Arial" w:cs="Arial"/>
              </w:rPr>
              <w:t xml:space="preserve">to be </w:t>
            </w:r>
            <w:r w:rsidRPr="00C916F7">
              <w:rPr>
                <w:rFonts w:ascii="Arial" w:hAnsi="Arial" w:cs="Arial"/>
              </w:rPr>
              <w:t xml:space="preserve">provided to meetings for scrutiny and assurance. </w:t>
            </w:r>
          </w:p>
          <w:p w14:paraId="476B0F45" w14:textId="77777777" w:rsidR="000E4F81" w:rsidRDefault="000E4F81" w:rsidP="00457B35">
            <w:pPr>
              <w:rPr>
                <w:rFonts w:ascii="Arial" w:hAnsi="Arial" w:cs="Arial"/>
              </w:rPr>
            </w:pPr>
          </w:p>
          <w:p w14:paraId="7135A4F4" w14:textId="2CC06003" w:rsidR="000E4F81" w:rsidRDefault="000E4F81" w:rsidP="00457B35">
            <w:pPr>
              <w:rPr>
                <w:rFonts w:ascii="Arial" w:hAnsi="Arial" w:cs="Arial"/>
              </w:rPr>
            </w:pPr>
            <w:r w:rsidRPr="00C916F7">
              <w:rPr>
                <w:rFonts w:ascii="Arial" w:hAnsi="Arial" w:cs="Arial"/>
              </w:rPr>
              <w:t>The Standing Orders for the Practice and Proce</w:t>
            </w:r>
            <w:r>
              <w:rPr>
                <w:rFonts w:ascii="Arial" w:hAnsi="Arial" w:cs="Arial"/>
              </w:rPr>
              <w:t>dure of the Board of Directors enable</w:t>
            </w:r>
            <w:r w:rsidRPr="00C916F7">
              <w:rPr>
                <w:rFonts w:ascii="Arial" w:hAnsi="Arial" w:cs="Arial"/>
              </w:rPr>
              <w:t xml:space="preserve"> the Chair to call a meeting of the Board at any time.</w:t>
            </w:r>
          </w:p>
          <w:p w14:paraId="32060B25" w14:textId="77777777" w:rsidR="000E4F81" w:rsidRDefault="000E4F81" w:rsidP="00457B35">
            <w:pPr>
              <w:rPr>
                <w:rFonts w:ascii="Arial" w:hAnsi="Arial" w:cs="Arial"/>
              </w:rPr>
            </w:pPr>
          </w:p>
          <w:p w14:paraId="2CE65080" w14:textId="00617D30" w:rsidR="000E4F81" w:rsidRDefault="000E4F81" w:rsidP="00457B35">
            <w:pPr>
              <w:rPr>
                <w:rFonts w:ascii="Arial" w:hAnsi="Arial" w:cs="Arial"/>
              </w:rPr>
            </w:pPr>
            <w:r>
              <w:rPr>
                <w:rFonts w:ascii="Arial" w:hAnsi="Arial" w:cs="Arial"/>
              </w:rPr>
              <w:t xml:space="preserve">The review of the quality governance framework </w:t>
            </w:r>
            <w:r w:rsidR="00B90E86">
              <w:rPr>
                <w:rFonts w:ascii="Arial" w:hAnsi="Arial" w:cs="Arial"/>
              </w:rPr>
              <w:t xml:space="preserve">as well as the introduction of the Corporate Framework </w:t>
            </w:r>
            <w:r>
              <w:rPr>
                <w:rFonts w:ascii="Arial" w:hAnsi="Arial" w:cs="Arial"/>
              </w:rPr>
              <w:t>is evidence of continued review and refresh required to ensure the information provided to the Board is timely and up to date.</w:t>
            </w:r>
          </w:p>
          <w:p w14:paraId="1AAB11F9" w14:textId="77777777" w:rsidR="000E4F81" w:rsidRDefault="000E4F81" w:rsidP="00457B35">
            <w:pPr>
              <w:rPr>
                <w:rFonts w:ascii="Arial" w:hAnsi="Arial" w:cs="Arial"/>
              </w:rPr>
            </w:pPr>
          </w:p>
          <w:p w14:paraId="55AABB7A" w14:textId="0D048688" w:rsidR="000E4F81" w:rsidRDefault="000E4F81" w:rsidP="00457B35">
            <w:pPr>
              <w:rPr>
                <w:rFonts w:ascii="Arial" w:hAnsi="Arial" w:cs="Arial"/>
              </w:rPr>
            </w:pPr>
            <w:r w:rsidRPr="00C916F7">
              <w:rPr>
                <w:rFonts w:ascii="Arial" w:hAnsi="Arial" w:cs="Arial"/>
              </w:rPr>
              <w:t xml:space="preserve"> f) The Trust has a</w:t>
            </w:r>
            <w:r>
              <w:rPr>
                <w:rFonts w:ascii="Arial" w:hAnsi="Arial" w:cs="Arial"/>
              </w:rPr>
              <w:t>n approved Risk Policy in place, t</w:t>
            </w:r>
            <w:r w:rsidRPr="00C916F7">
              <w:rPr>
                <w:rFonts w:ascii="Arial" w:hAnsi="Arial" w:cs="Arial"/>
              </w:rPr>
              <w:t>he Board Assurance Framew</w:t>
            </w:r>
            <w:r>
              <w:rPr>
                <w:rFonts w:ascii="Arial" w:hAnsi="Arial" w:cs="Arial"/>
              </w:rPr>
              <w:t>ork (BAF) and Corporate Risk Regi</w:t>
            </w:r>
            <w:r w:rsidRPr="00C916F7">
              <w:rPr>
                <w:rFonts w:ascii="Arial" w:hAnsi="Arial" w:cs="Arial"/>
              </w:rPr>
              <w:t xml:space="preserve">ster provide the framework through which risks are considered, reviewed and managed. </w:t>
            </w:r>
          </w:p>
          <w:p w14:paraId="11E70C11" w14:textId="77777777" w:rsidR="000E4F81" w:rsidRDefault="000E4F81" w:rsidP="00457B35">
            <w:pPr>
              <w:rPr>
                <w:rFonts w:ascii="Arial" w:hAnsi="Arial" w:cs="Arial"/>
              </w:rPr>
            </w:pPr>
          </w:p>
          <w:p w14:paraId="181F5304" w14:textId="77777777" w:rsidR="00B90E86" w:rsidRDefault="000E4F81" w:rsidP="00457B35">
            <w:pPr>
              <w:rPr>
                <w:rFonts w:ascii="Arial" w:hAnsi="Arial" w:cs="Arial"/>
              </w:rPr>
            </w:pPr>
            <w:r>
              <w:rPr>
                <w:rFonts w:ascii="Arial" w:hAnsi="Arial" w:cs="Arial"/>
              </w:rPr>
              <w:t>The Board receives a summary of the Corporate Risk Register</w:t>
            </w:r>
            <w:r w:rsidR="00B90E86">
              <w:rPr>
                <w:rFonts w:ascii="Arial" w:hAnsi="Arial" w:cs="Arial"/>
              </w:rPr>
              <w:t>.</w:t>
            </w:r>
          </w:p>
          <w:p w14:paraId="6842EB13" w14:textId="77777777" w:rsidR="00B90E86" w:rsidRDefault="00B90E86" w:rsidP="00457B35">
            <w:pPr>
              <w:rPr>
                <w:rFonts w:ascii="Arial" w:hAnsi="Arial" w:cs="Arial"/>
              </w:rPr>
            </w:pPr>
          </w:p>
          <w:p w14:paraId="6F8589D9" w14:textId="2D09F7DC" w:rsidR="00B90E86" w:rsidRDefault="00B90E86" w:rsidP="00457B35">
            <w:pPr>
              <w:rPr>
                <w:rFonts w:ascii="Arial" w:hAnsi="Arial" w:cs="Arial"/>
              </w:rPr>
            </w:pPr>
            <w:r>
              <w:rPr>
                <w:rFonts w:ascii="Arial" w:hAnsi="Arial" w:cs="Arial"/>
              </w:rPr>
              <w:t xml:space="preserve">The </w:t>
            </w:r>
            <w:r w:rsidR="000E4F81">
              <w:rPr>
                <w:rFonts w:ascii="Arial" w:hAnsi="Arial" w:cs="Arial"/>
              </w:rPr>
              <w:t xml:space="preserve">Board Assurance Framework </w:t>
            </w:r>
            <w:r>
              <w:rPr>
                <w:rFonts w:ascii="Arial" w:hAnsi="Arial" w:cs="Arial"/>
              </w:rPr>
              <w:t>forms the basis of the structure to Trust Board in Public and each section is reviewed at each Sub-Committee of the Board.  The Audit Committee retains overall review of the process for the development of the BAF</w:t>
            </w:r>
            <w:r w:rsidR="000E4F81">
              <w:rPr>
                <w:rFonts w:ascii="Arial" w:hAnsi="Arial" w:cs="Arial"/>
              </w:rPr>
              <w:t>.</w:t>
            </w:r>
            <w:r>
              <w:rPr>
                <w:rFonts w:ascii="Arial" w:hAnsi="Arial" w:cs="Arial"/>
              </w:rPr>
              <w:t xml:space="preserve">  The BAF</w:t>
            </w:r>
            <w:r w:rsidR="00226ADE">
              <w:rPr>
                <w:rFonts w:ascii="Arial" w:hAnsi="Arial" w:cs="Arial"/>
              </w:rPr>
              <w:t xml:space="preserve"> had a full revision in 2024-25</w:t>
            </w:r>
            <w:r>
              <w:rPr>
                <w:rFonts w:ascii="Arial" w:hAnsi="Arial" w:cs="Arial"/>
              </w:rPr>
              <w:t xml:space="preserve"> to align to the HDFT Impact Programme.</w:t>
            </w:r>
            <w:r w:rsidR="00226ADE">
              <w:rPr>
                <w:rFonts w:ascii="Arial" w:hAnsi="Arial" w:cs="Arial"/>
              </w:rPr>
              <w:t xml:space="preserve">  This is the principle tool used to oversee the progress of delivery against the Trust Strategy</w:t>
            </w:r>
          </w:p>
          <w:p w14:paraId="4BCF2A80" w14:textId="77777777" w:rsidR="000E4F81" w:rsidRDefault="000E4F81" w:rsidP="00457B35">
            <w:pPr>
              <w:rPr>
                <w:rFonts w:ascii="Arial" w:hAnsi="Arial" w:cs="Arial"/>
              </w:rPr>
            </w:pPr>
          </w:p>
          <w:p w14:paraId="659E4B9C" w14:textId="77777777" w:rsidR="000E4F81" w:rsidRDefault="000E4F81" w:rsidP="00457B35">
            <w:pPr>
              <w:rPr>
                <w:rFonts w:ascii="Arial" w:hAnsi="Arial" w:cs="Arial"/>
              </w:rPr>
            </w:pPr>
            <w:r>
              <w:rPr>
                <w:rFonts w:ascii="Arial" w:hAnsi="Arial" w:cs="Arial"/>
              </w:rPr>
              <w:t>g) The Trust has an Annual P</w:t>
            </w:r>
            <w:r w:rsidRPr="00C916F7">
              <w:rPr>
                <w:rFonts w:ascii="Arial" w:hAnsi="Arial" w:cs="Arial"/>
              </w:rPr>
              <w:t xml:space="preserve">lanning process that ensures future business plans are developed and supported by appropriate engagement </w:t>
            </w:r>
            <w:r>
              <w:rPr>
                <w:rFonts w:ascii="Arial" w:hAnsi="Arial" w:cs="Arial"/>
              </w:rPr>
              <w:t>across the organisation.  The Annual Plan is discussed in detail at the Resource Committee and by the Board before this is approved.</w:t>
            </w:r>
            <w:r w:rsidRPr="00C916F7">
              <w:rPr>
                <w:rFonts w:ascii="Arial" w:hAnsi="Arial" w:cs="Arial"/>
              </w:rPr>
              <w:t xml:space="preserve"> </w:t>
            </w:r>
          </w:p>
          <w:p w14:paraId="04C79B15" w14:textId="77777777" w:rsidR="000E4F81" w:rsidRDefault="000E4F81" w:rsidP="00457B35">
            <w:pPr>
              <w:rPr>
                <w:rFonts w:ascii="Arial" w:hAnsi="Arial" w:cs="Arial"/>
              </w:rPr>
            </w:pPr>
          </w:p>
          <w:p w14:paraId="78952E52" w14:textId="77777777" w:rsidR="000E4F81" w:rsidRDefault="000E4F81" w:rsidP="00457B35">
            <w:pPr>
              <w:rPr>
                <w:rFonts w:ascii="Arial" w:hAnsi="Arial" w:cs="Arial"/>
              </w:rPr>
            </w:pPr>
          </w:p>
          <w:p w14:paraId="0E1EFAC0" w14:textId="77777777" w:rsidR="000E4F81" w:rsidRPr="00C916F7" w:rsidRDefault="000E4F81" w:rsidP="00457B35">
            <w:pPr>
              <w:rPr>
                <w:rFonts w:ascii="Arial" w:hAnsi="Arial" w:cs="Arial"/>
              </w:rPr>
            </w:pPr>
          </w:p>
          <w:p w14:paraId="55864E12" w14:textId="77777777" w:rsidR="000E4F81" w:rsidRPr="00C916F7" w:rsidRDefault="000E4F81" w:rsidP="00457B35">
            <w:pPr>
              <w:rPr>
                <w:rFonts w:ascii="Arial" w:hAnsi="Arial" w:cs="Arial"/>
              </w:rPr>
            </w:pPr>
            <w:r w:rsidRPr="00C916F7">
              <w:rPr>
                <w:rFonts w:ascii="Arial" w:hAnsi="Arial" w:cs="Arial"/>
              </w:rPr>
              <w:t xml:space="preserve"> h) The governance, risk and control processes in place</w:t>
            </w:r>
            <w:r>
              <w:rPr>
                <w:rFonts w:ascii="Arial" w:hAnsi="Arial" w:cs="Arial"/>
              </w:rPr>
              <w:t xml:space="preserve"> ensures that any risks to legal requirements are considered to ensure the T</w:t>
            </w:r>
            <w:r w:rsidRPr="00C916F7">
              <w:rPr>
                <w:rFonts w:ascii="Arial" w:hAnsi="Arial" w:cs="Arial"/>
              </w:rPr>
              <w:t>rust remains compliant.</w:t>
            </w:r>
          </w:p>
        </w:tc>
        <w:tc>
          <w:tcPr>
            <w:tcW w:w="2409" w:type="dxa"/>
          </w:tcPr>
          <w:p w14:paraId="1C6DFCD5" w14:textId="77777777" w:rsidR="000E4F81" w:rsidRPr="00440E24" w:rsidRDefault="000E4F81" w:rsidP="00457B35">
            <w:pPr>
              <w:rPr>
                <w:rFonts w:ascii="Arial" w:hAnsi="Arial" w:cs="Arial"/>
              </w:rPr>
            </w:pPr>
            <w:r w:rsidRPr="00440E24">
              <w:rPr>
                <w:rFonts w:ascii="Arial" w:hAnsi="Arial" w:cs="Arial"/>
              </w:rPr>
              <w:lastRenderedPageBreak/>
              <w:t>No risks identified</w:t>
            </w:r>
          </w:p>
        </w:tc>
      </w:tr>
      <w:tr w:rsidR="000E4F81" w14:paraId="353C5570" w14:textId="77777777" w:rsidTr="00457B35">
        <w:trPr>
          <w:trHeight w:val="1036"/>
        </w:trPr>
        <w:tc>
          <w:tcPr>
            <w:tcW w:w="534" w:type="dxa"/>
          </w:tcPr>
          <w:p w14:paraId="22B3EB71" w14:textId="77777777" w:rsidR="000E4F81" w:rsidRPr="00B86B86" w:rsidRDefault="000E4F81" w:rsidP="00457B35">
            <w:pPr>
              <w:rPr>
                <w:rFonts w:ascii="Arial" w:hAnsi="Arial" w:cs="Arial"/>
              </w:rPr>
            </w:pPr>
            <w:r>
              <w:rPr>
                <w:rFonts w:ascii="Arial" w:hAnsi="Arial" w:cs="Arial"/>
              </w:rPr>
              <w:lastRenderedPageBreak/>
              <w:t>5.</w:t>
            </w:r>
          </w:p>
        </w:tc>
        <w:tc>
          <w:tcPr>
            <w:tcW w:w="4252" w:type="dxa"/>
          </w:tcPr>
          <w:p w14:paraId="6B5C0712" w14:textId="77777777" w:rsidR="000E4F81" w:rsidRDefault="000E4F81" w:rsidP="00457B35">
            <w:pPr>
              <w:rPr>
                <w:rFonts w:ascii="Arial" w:hAnsi="Arial" w:cs="Arial"/>
              </w:rPr>
            </w:pPr>
            <w:r w:rsidRPr="00C916F7">
              <w:rPr>
                <w:rFonts w:ascii="Arial" w:hAnsi="Arial" w:cs="Arial"/>
              </w:rPr>
              <w:t xml:space="preserve">The Board is satisfied that the systems and/or processes referred to in paragraph 4 (above) should include but not be restricted to systems and/or processes to ensure: </w:t>
            </w:r>
          </w:p>
          <w:p w14:paraId="44882025" w14:textId="77777777" w:rsidR="000E4F81" w:rsidRPr="00C916F7" w:rsidRDefault="000E4F81" w:rsidP="00457B35">
            <w:pPr>
              <w:rPr>
                <w:rFonts w:ascii="Arial" w:hAnsi="Arial" w:cs="Arial"/>
              </w:rPr>
            </w:pPr>
          </w:p>
          <w:p w14:paraId="354606C8" w14:textId="77777777" w:rsidR="000E4F81" w:rsidRDefault="000E4F81" w:rsidP="00457B35">
            <w:pPr>
              <w:rPr>
                <w:rFonts w:ascii="Arial" w:hAnsi="Arial" w:cs="Arial"/>
              </w:rPr>
            </w:pPr>
            <w:r w:rsidRPr="00C916F7">
              <w:rPr>
                <w:rFonts w:ascii="Arial" w:hAnsi="Arial" w:cs="Arial"/>
              </w:rPr>
              <w:t xml:space="preserve"> (a) That there is sufficient capability at  Board level to provide effective organisational leadership on the quality of care provided;    </w:t>
            </w:r>
          </w:p>
          <w:p w14:paraId="5A7EEA3E" w14:textId="77777777" w:rsidR="000E4F81" w:rsidRDefault="000E4F81" w:rsidP="00457B35">
            <w:pPr>
              <w:rPr>
                <w:rFonts w:ascii="Arial" w:hAnsi="Arial" w:cs="Arial"/>
              </w:rPr>
            </w:pPr>
          </w:p>
          <w:p w14:paraId="51ED2038" w14:textId="77777777" w:rsidR="000E4F81" w:rsidRDefault="000E4F81" w:rsidP="00457B35">
            <w:pPr>
              <w:rPr>
                <w:rFonts w:ascii="Arial" w:hAnsi="Arial" w:cs="Arial"/>
              </w:rPr>
            </w:pPr>
          </w:p>
          <w:p w14:paraId="10F9DA11" w14:textId="77777777" w:rsidR="000E4F81" w:rsidRDefault="000E4F81" w:rsidP="00457B35">
            <w:pPr>
              <w:rPr>
                <w:rFonts w:ascii="Arial" w:hAnsi="Arial" w:cs="Arial"/>
              </w:rPr>
            </w:pPr>
          </w:p>
          <w:p w14:paraId="5C2F69DC" w14:textId="77777777" w:rsidR="000E4F81" w:rsidRDefault="000E4F81" w:rsidP="00457B35">
            <w:pPr>
              <w:rPr>
                <w:rFonts w:ascii="Arial" w:hAnsi="Arial" w:cs="Arial"/>
              </w:rPr>
            </w:pPr>
            <w:r w:rsidRPr="00C916F7">
              <w:rPr>
                <w:rFonts w:ascii="Arial" w:hAnsi="Arial" w:cs="Arial"/>
              </w:rPr>
              <w:t>(b) That the Board’s planning and decision</w:t>
            </w:r>
            <w:r>
              <w:rPr>
                <w:rFonts w:ascii="Arial" w:hAnsi="Arial" w:cs="Arial"/>
              </w:rPr>
              <w:t xml:space="preserve"> </w:t>
            </w:r>
            <w:r w:rsidRPr="00C916F7">
              <w:rPr>
                <w:rFonts w:ascii="Arial" w:hAnsi="Arial" w:cs="Arial"/>
              </w:rPr>
              <w:t xml:space="preserve">making processes take timely and appropriate account of quality of care considerations; </w:t>
            </w:r>
          </w:p>
          <w:p w14:paraId="21FCF2CB" w14:textId="77777777" w:rsidR="000E4F81" w:rsidRDefault="000E4F81" w:rsidP="00457B35">
            <w:pPr>
              <w:rPr>
                <w:rFonts w:ascii="Arial" w:hAnsi="Arial" w:cs="Arial"/>
              </w:rPr>
            </w:pPr>
          </w:p>
          <w:p w14:paraId="7FFB0F5D" w14:textId="77777777" w:rsidR="000E4F81" w:rsidRDefault="000E4F81" w:rsidP="00457B35">
            <w:pPr>
              <w:rPr>
                <w:rFonts w:ascii="Arial" w:hAnsi="Arial" w:cs="Arial"/>
              </w:rPr>
            </w:pPr>
            <w:r w:rsidRPr="00C916F7">
              <w:rPr>
                <w:rFonts w:ascii="Arial" w:hAnsi="Arial" w:cs="Arial"/>
              </w:rPr>
              <w:t>(c) The</w:t>
            </w:r>
            <w:r>
              <w:rPr>
                <w:rFonts w:ascii="Arial" w:hAnsi="Arial" w:cs="Arial"/>
              </w:rPr>
              <w:t>re is</w:t>
            </w:r>
            <w:r w:rsidRPr="00C916F7">
              <w:rPr>
                <w:rFonts w:ascii="Arial" w:hAnsi="Arial" w:cs="Arial"/>
              </w:rPr>
              <w:t xml:space="preserve"> collection of accurate, comprehensive, timely and up to date information on quality of care; </w:t>
            </w:r>
          </w:p>
          <w:p w14:paraId="5D8956C6" w14:textId="77777777" w:rsidR="000E4F81" w:rsidRDefault="000E4F81" w:rsidP="00457B35">
            <w:pPr>
              <w:rPr>
                <w:rFonts w:ascii="Arial" w:hAnsi="Arial" w:cs="Arial"/>
              </w:rPr>
            </w:pPr>
          </w:p>
          <w:p w14:paraId="78D2CAA9" w14:textId="77777777" w:rsidR="000E4F81" w:rsidRDefault="000E4F81" w:rsidP="00457B35">
            <w:pPr>
              <w:rPr>
                <w:rFonts w:ascii="Arial" w:hAnsi="Arial" w:cs="Arial"/>
              </w:rPr>
            </w:pPr>
          </w:p>
          <w:p w14:paraId="22A49F43" w14:textId="77777777" w:rsidR="000E4F81" w:rsidRDefault="000E4F81" w:rsidP="00457B35">
            <w:pPr>
              <w:rPr>
                <w:rFonts w:ascii="Arial" w:hAnsi="Arial" w:cs="Arial"/>
              </w:rPr>
            </w:pPr>
          </w:p>
          <w:p w14:paraId="207E8A2F" w14:textId="77777777" w:rsidR="000E4F81" w:rsidRDefault="000E4F81" w:rsidP="00457B35">
            <w:pPr>
              <w:rPr>
                <w:rFonts w:ascii="Arial" w:hAnsi="Arial" w:cs="Arial"/>
              </w:rPr>
            </w:pPr>
          </w:p>
          <w:p w14:paraId="3187F36F" w14:textId="77777777" w:rsidR="000E4F81" w:rsidRDefault="000E4F81" w:rsidP="00457B35">
            <w:pPr>
              <w:rPr>
                <w:rFonts w:ascii="Arial" w:hAnsi="Arial" w:cs="Arial"/>
              </w:rPr>
            </w:pPr>
            <w:r w:rsidRPr="00C916F7">
              <w:rPr>
                <w:rFonts w:ascii="Arial" w:hAnsi="Arial" w:cs="Arial"/>
              </w:rPr>
              <w:t xml:space="preserve">(d) That the Board receives and takes into account accurate, comprehensive, timely and up to date information on quality of care; </w:t>
            </w:r>
          </w:p>
          <w:p w14:paraId="4792B24E" w14:textId="77777777" w:rsidR="000E4F81" w:rsidRDefault="000E4F81" w:rsidP="00457B35">
            <w:pPr>
              <w:rPr>
                <w:rFonts w:ascii="Arial" w:hAnsi="Arial" w:cs="Arial"/>
              </w:rPr>
            </w:pPr>
          </w:p>
          <w:p w14:paraId="61CF3107" w14:textId="77777777" w:rsidR="000E4F81" w:rsidRDefault="000E4F81" w:rsidP="00457B35">
            <w:pPr>
              <w:rPr>
                <w:rFonts w:ascii="Arial" w:hAnsi="Arial" w:cs="Arial"/>
              </w:rPr>
            </w:pPr>
          </w:p>
          <w:p w14:paraId="6498B973" w14:textId="77777777" w:rsidR="000E4F81" w:rsidRDefault="000E4F81" w:rsidP="00457B35">
            <w:pPr>
              <w:rPr>
                <w:rFonts w:ascii="Arial" w:hAnsi="Arial" w:cs="Arial"/>
              </w:rPr>
            </w:pPr>
            <w:r w:rsidRPr="00C916F7">
              <w:rPr>
                <w:rFonts w:ascii="Arial" w:hAnsi="Arial" w:cs="Arial"/>
              </w:rPr>
              <w:t>(e) That the Licensee, including its Board, actively engages on quality of care with patients, staff and other relevant stakeholders and takes into account</w:t>
            </w:r>
            <w:r>
              <w:rPr>
                <w:rFonts w:ascii="Arial" w:hAnsi="Arial" w:cs="Arial"/>
              </w:rPr>
              <w:t xml:space="preserve">, as appropriate, </w:t>
            </w:r>
            <w:r w:rsidRPr="00C916F7">
              <w:rPr>
                <w:rFonts w:ascii="Arial" w:hAnsi="Arial" w:cs="Arial"/>
              </w:rPr>
              <w:t xml:space="preserve">views and information from these sources; and </w:t>
            </w:r>
          </w:p>
          <w:p w14:paraId="520F5DCC" w14:textId="77777777" w:rsidR="000E4F81" w:rsidRDefault="000E4F81" w:rsidP="00457B35">
            <w:pPr>
              <w:rPr>
                <w:rFonts w:ascii="Arial" w:hAnsi="Arial" w:cs="Arial"/>
              </w:rPr>
            </w:pPr>
          </w:p>
          <w:p w14:paraId="328E3FF7" w14:textId="77777777" w:rsidR="000E4F81" w:rsidRDefault="000E4F81" w:rsidP="00457B35">
            <w:pPr>
              <w:rPr>
                <w:rFonts w:ascii="Arial" w:hAnsi="Arial" w:cs="Arial"/>
              </w:rPr>
            </w:pPr>
          </w:p>
          <w:p w14:paraId="1638ACF1" w14:textId="77777777" w:rsidR="000E4F81" w:rsidRDefault="000E4F81" w:rsidP="00457B35">
            <w:pPr>
              <w:rPr>
                <w:rFonts w:ascii="Arial" w:hAnsi="Arial" w:cs="Arial"/>
              </w:rPr>
            </w:pPr>
          </w:p>
          <w:p w14:paraId="174F5499" w14:textId="77777777" w:rsidR="000E4F81" w:rsidRDefault="000E4F81" w:rsidP="00457B35">
            <w:pPr>
              <w:rPr>
                <w:rFonts w:ascii="Arial" w:hAnsi="Arial" w:cs="Arial"/>
              </w:rPr>
            </w:pPr>
          </w:p>
          <w:p w14:paraId="596D2A27" w14:textId="77777777" w:rsidR="000E4F81" w:rsidRDefault="000E4F81" w:rsidP="00457B35">
            <w:pPr>
              <w:rPr>
                <w:rFonts w:ascii="Arial" w:hAnsi="Arial" w:cs="Arial"/>
              </w:rPr>
            </w:pPr>
          </w:p>
          <w:p w14:paraId="4BF6F954" w14:textId="77777777" w:rsidR="000E4F81" w:rsidRDefault="000E4F81" w:rsidP="00457B35">
            <w:pPr>
              <w:rPr>
                <w:rFonts w:ascii="Arial" w:hAnsi="Arial" w:cs="Arial"/>
              </w:rPr>
            </w:pPr>
          </w:p>
          <w:p w14:paraId="5CC7D937" w14:textId="77777777" w:rsidR="000E4F81" w:rsidRDefault="000E4F81" w:rsidP="00457B35">
            <w:pPr>
              <w:rPr>
                <w:rFonts w:ascii="Arial" w:hAnsi="Arial" w:cs="Arial"/>
              </w:rPr>
            </w:pPr>
          </w:p>
          <w:p w14:paraId="79E4FAAE" w14:textId="77777777" w:rsidR="000E4F81" w:rsidRDefault="000E4F81" w:rsidP="00457B35">
            <w:pPr>
              <w:rPr>
                <w:rFonts w:ascii="Arial" w:hAnsi="Arial" w:cs="Arial"/>
              </w:rPr>
            </w:pPr>
          </w:p>
          <w:p w14:paraId="6071CE09" w14:textId="77777777" w:rsidR="000E4F81" w:rsidRDefault="000E4F81" w:rsidP="00457B35">
            <w:pPr>
              <w:rPr>
                <w:rFonts w:ascii="Arial" w:hAnsi="Arial" w:cs="Arial"/>
              </w:rPr>
            </w:pPr>
          </w:p>
          <w:p w14:paraId="08FA0D9C" w14:textId="77777777" w:rsidR="000E4F81" w:rsidRDefault="000E4F81" w:rsidP="00457B35">
            <w:pPr>
              <w:rPr>
                <w:rFonts w:ascii="Arial" w:hAnsi="Arial" w:cs="Arial"/>
              </w:rPr>
            </w:pPr>
          </w:p>
          <w:p w14:paraId="7BE8C115" w14:textId="1ACF5738" w:rsidR="000E4F81" w:rsidRDefault="000E4F81" w:rsidP="00457B35">
            <w:pPr>
              <w:rPr>
                <w:rFonts w:ascii="Arial" w:hAnsi="Arial" w:cs="Arial"/>
              </w:rPr>
            </w:pPr>
          </w:p>
          <w:p w14:paraId="1F51B632" w14:textId="1CC74E25" w:rsidR="00226ADE" w:rsidRDefault="00226ADE" w:rsidP="00457B35">
            <w:pPr>
              <w:rPr>
                <w:rFonts w:ascii="Arial" w:hAnsi="Arial" w:cs="Arial"/>
              </w:rPr>
            </w:pPr>
          </w:p>
          <w:p w14:paraId="250D9AD7" w14:textId="15F9E2D4" w:rsidR="00226ADE" w:rsidRDefault="00226ADE" w:rsidP="00457B35">
            <w:pPr>
              <w:rPr>
                <w:rFonts w:ascii="Arial" w:hAnsi="Arial" w:cs="Arial"/>
              </w:rPr>
            </w:pPr>
          </w:p>
          <w:p w14:paraId="2E7FA5C0" w14:textId="77777777" w:rsidR="00226ADE" w:rsidRDefault="00226ADE" w:rsidP="00457B35">
            <w:pPr>
              <w:rPr>
                <w:rFonts w:ascii="Arial" w:hAnsi="Arial" w:cs="Arial"/>
              </w:rPr>
            </w:pPr>
          </w:p>
          <w:p w14:paraId="2B44314D" w14:textId="77777777" w:rsidR="000E4F81" w:rsidRDefault="000E4F81" w:rsidP="00457B35">
            <w:pPr>
              <w:rPr>
                <w:rFonts w:ascii="Arial" w:hAnsi="Arial" w:cs="Arial"/>
              </w:rPr>
            </w:pPr>
          </w:p>
          <w:p w14:paraId="72241563" w14:textId="77777777" w:rsidR="000E4F81" w:rsidRDefault="000E4F81" w:rsidP="00457B35">
            <w:pPr>
              <w:rPr>
                <w:rFonts w:ascii="Arial" w:hAnsi="Arial" w:cs="Arial"/>
              </w:rPr>
            </w:pPr>
          </w:p>
          <w:p w14:paraId="6D555C91" w14:textId="77777777" w:rsidR="000E4F81" w:rsidRDefault="000E4F81" w:rsidP="00457B35">
            <w:pPr>
              <w:rPr>
                <w:rFonts w:ascii="Arial" w:hAnsi="Arial" w:cs="Arial"/>
              </w:rPr>
            </w:pPr>
          </w:p>
          <w:p w14:paraId="7ECD0C33" w14:textId="77777777" w:rsidR="000E4F81" w:rsidRDefault="000E4F81" w:rsidP="00457B35">
            <w:pPr>
              <w:rPr>
                <w:rFonts w:ascii="Arial" w:hAnsi="Arial" w:cs="Arial"/>
              </w:rPr>
            </w:pPr>
          </w:p>
          <w:p w14:paraId="4A395BDD" w14:textId="77777777" w:rsidR="00206356" w:rsidRDefault="00206356" w:rsidP="00457B35">
            <w:pPr>
              <w:rPr>
                <w:rFonts w:ascii="Arial" w:hAnsi="Arial" w:cs="Arial"/>
              </w:rPr>
            </w:pPr>
          </w:p>
          <w:p w14:paraId="53B7B22E" w14:textId="77777777" w:rsidR="00206356" w:rsidRDefault="00206356" w:rsidP="00457B35">
            <w:pPr>
              <w:rPr>
                <w:rFonts w:ascii="Arial" w:hAnsi="Arial" w:cs="Arial"/>
              </w:rPr>
            </w:pPr>
          </w:p>
          <w:p w14:paraId="6792CF67" w14:textId="158613F1" w:rsidR="000E4F81" w:rsidRDefault="000E4F81" w:rsidP="00457B35">
            <w:pPr>
              <w:rPr>
                <w:rFonts w:ascii="Arial" w:hAnsi="Arial" w:cs="Arial"/>
              </w:rPr>
            </w:pPr>
            <w:r w:rsidRPr="00C916F7">
              <w:rPr>
                <w:rFonts w:ascii="Arial" w:hAnsi="Arial" w:cs="Arial"/>
              </w:rPr>
              <w:t>(f) That there is clear accountability for quality of care throughout the Licensee including but not restricted to systems and/or processes for escalating and resolving quality issues including escalating them to the Board where appropriate.</w:t>
            </w:r>
          </w:p>
          <w:p w14:paraId="062B8793" w14:textId="77777777" w:rsidR="000E4F81" w:rsidRPr="00C916F7" w:rsidRDefault="000E4F81" w:rsidP="00457B35">
            <w:pPr>
              <w:rPr>
                <w:rFonts w:ascii="Arial" w:hAnsi="Arial" w:cs="Arial"/>
              </w:rPr>
            </w:pPr>
          </w:p>
        </w:tc>
        <w:tc>
          <w:tcPr>
            <w:tcW w:w="7088" w:type="dxa"/>
          </w:tcPr>
          <w:p w14:paraId="4EFCCE1F" w14:textId="77777777" w:rsidR="000E4F81" w:rsidRDefault="000E4F81" w:rsidP="00457B35">
            <w:pPr>
              <w:rPr>
                <w:rFonts w:ascii="Arial" w:hAnsi="Arial" w:cs="Arial"/>
                <w:b/>
              </w:rPr>
            </w:pPr>
            <w:r>
              <w:rPr>
                <w:rFonts w:ascii="Arial" w:hAnsi="Arial" w:cs="Arial"/>
                <w:b/>
              </w:rPr>
              <w:lastRenderedPageBreak/>
              <w:t>Confirmed</w:t>
            </w:r>
          </w:p>
          <w:p w14:paraId="537C4C2F" w14:textId="77777777" w:rsidR="000E4F81" w:rsidRDefault="000E4F81" w:rsidP="00457B35">
            <w:pPr>
              <w:rPr>
                <w:rFonts w:ascii="Arial" w:hAnsi="Arial" w:cs="Arial"/>
                <w:b/>
              </w:rPr>
            </w:pPr>
          </w:p>
          <w:p w14:paraId="62838781" w14:textId="77777777" w:rsidR="000E4F81" w:rsidRDefault="000E4F81" w:rsidP="00457B35">
            <w:pPr>
              <w:rPr>
                <w:rFonts w:ascii="Arial" w:hAnsi="Arial" w:cs="Arial"/>
                <w:b/>
              </w:rPr>
            </w:pPr>
          </w:p>
          <w:p w14:paraId="6AF2574C" w14:textId="77777777" w:rsidR="000E4F81" w:rsidRDefault="000E4F81" w:rsidP="00457B35">
            <w:pPr>
              <w:rPr>
                <w:rFonts w:ascii="Arial" w:hAnsi="Arial" w:cs="Arial"/>
                <w:b/>
              </w:rPr>
            </w:pPr>
          </w:p>
          <w:p w14:paraId="6E0BECFA" w14:textId="77777777" w:rsidR="000E4F81" w:rsidRDefault="000E4F81" w:rsidP="00457B35">
            <w:pPr>
              <w:rPr>
                <w:rFonts w:ascii="Arial" w:hAnsi="Arial" w:cs="Arial"/>
                <w:b/>
              </w:rPr>
            </w:pPr>
          </w:p>
          <w:p w14:paraId="5A8F2216" w14:textId="77777777" w:rsidR="000E4F81" w:rsidRPr="00DA4830" w:rsidRDefault="000E4F81" w:rsidP="00457B35">
            <w:pPr>
              <w:rPr>
                <w:rFonts w:ascii="Arial" w:hAnsi="Arial" w:cs="Arial"/>
                <w:b/>
              </w:rPr>
            </w:pPr>
          </w:p>
          <w:p w14:paraId="401B9C28" w14:textId="3285553B" w:rsidR="000E4F81" w:rsidRDefault="000E4F81" w:rsidP="00457B35">
            <w:pPr>
              <w:rPr>
                <w:rFonts w:ascii="Arial" w:hAnsi="Arial" w:cs="Arial"/>
              </w:rPr>
            </w:pPr>
            <w:r w:rsidRPr="00C916F7">
              <w:rPr>
                <w:rFonts w:ascii="Arial" w:hAnsi="Arial" w:cs="Arial"/>
              </w:rPr>
              <w:t>a) There are appraisal proce</w:t>
            </w:r>
            <w:r>
              <w:rPr>
                <w:rFonts w:ascii="Arial" w:hAnsi="Arial" w:cs="Arial"/>
              </w:rPr>
              <w:t xml:space="preserve">sses in place to support </w:t>
            </w:r>
            <w:r w:rsidRPr="00C916F7">
              <w:rPr>
                <w:rFonts w:ascii="Arial" w:hAnsi="Arial" w:cs="Arial"/>
              </w:rPr>
              <w:t xml:space="preserve">Board members individually and collectively. </w:t>
            </w:r>
            <w:r>
              <w:rPr>
                <w:rFonts w:ascii="Arial" w:hAnsi="Arial" w:cs="Arial"/>
              </w:rPr>
              <w:t>The outcome of appraisals are reported to the Remuneration Nomination and Conduct Committee for Non-executive Directors, including the Chair and to the Remuneration Committee for the Executive Directors including the Chief Executive.</w:t>
            </w:r>
          </w:p>
          <w:p w14:paraId="7E426F29" w14:textId="77777777" w:rsidR="000E4F81" w:rsidRDefault="000E4F81" w:rsidP="00457B35">
            <w:pPr>
              <w:rPr>
                <w:rFonts w:ascii="Arial" w:hAnsi="Arial" w:cs="Arial"/>
              </w:rPr>
            </w:pPr>
          </w:p>
          <w:p w14:paraId="55AF86C8" w14:textId="77777777" w:rsidR="000E4F81" w:rsidRDefault="000E4F81" w:rsidP="00457B35">
            <w:pPr>
              <w:rPr>
                <w:rFonts w:ascii="Arial" w:hAnsi="Arial" w:cs="Arial"/>
              </w:rPr>
            </w:pPr>
          </w:p>
          <w:p w14:paraId="49D28F7B" w14:textId="77777777" w:rsidR="000E4F81" w:rsidRDefault="000E4F81" w:rsidP="00457B35">
            <w:pPr>
              <w:rPr>
                <w:rFonts w:ascii="Arial" w:hAnsi="Arial" w:cs="Arial"/>
              </w:rPr>
            </w:pPr>
            <w:r w:rsidRPr="00C916F7">
              <w:rPr>
                <w:rFonts w:ascii="Arial" w:hAnsi="Arial" w:cs="Arial"/>
              </w:rPr>
              <w:t>b) There are QIA and EIA processes in place to support decision making processes for any service development or changes and any impact on the quality of care i</w:t>
            </w:r>
            <w:r>
              <w:rPr>
                <w:rFonts w:ascii="Arial" w:hAnsi="Arial" w:cs="Arial"/>
              </w:rPr>
              <w:t xml:space="preserve">s carefully considered.  </w:t>
            </w:r>
          </w:p>
          <w:p w14:paraId="2DD73FF2" w14:textId="77777777" w:rsidR="000E4F81" w:rsidRDefault="000E4F81" w:rsidP="00457B35">
            <w:pPr>
              <w:rPr>
                <w:rFonts w:ascii="Arial" w:hAnsi="Arial" w:cs="Arial"/>
              </w:rPr>
            </w:pPr>
          </w:p>
          <w:p w14:paraId="35BCEDB9" w14:textId="77777777" w:rsidR="000E4F81" w:rsidRDefault="000E4F81" w:rsidP="00457B35">
            <w:pPr>
              <w:rPr>
                <w:rFonts w:ascii="Arial" w:hAnsi="Arial" w:cs="Arial"/>
              </w:rPr>
            </w:pPr>
          </w:p>
          <w:p w14:paraId="2BF89EA3" w14:textId="1A81A570" w:rsidR="000E4F81" w:rsidRDefault="000E4F81" w:rsidP="00457B35">
            <w:pPr>
              <w:rPr>
                <w:rFonts w:ascii="Arial" w:hAnsi="Arial" w:cs="Arial"/>
              </w:rPr>
            </w:pPr>
            <w:r w:rsidRPr="00C916F7">
              <w:rPr>
                <w:rFonts w:ascii="Arial" w:hAnsi="Arial" w:cs="Arial"/>
              </w:rPr>
              <w:t xml:space="preserve">c) The </w:t>
            </w:r>
            <w:r>
              <w:rPr>
                <w:rFonts w:ascii="Arial" w:hAnsi="Arial" w:cs="Arial"/>
              </w:rPr>
              <w:t>Quality Committee</w:t>
            </w:r>
            <w:r w:rsidRPr="00C916F7">
              <w:rPr>
                <w:rFonts w:ascii="Arial" w:hAnsi="Arial" w:cs="Arial"/>
              </w:rPr>
              <w:t xml:space="preserve"> supports the monitoring of information on </w:t>
            </w:r>
            <w:r>
              <w:rPr>
                <w:rFonts w:ascii="Arial" w:hAnsi="Arial" w:cs="Arial"/>
              </w:rPr>
              <w:t xml:space="preserve">the </w:t>
            </w:r>
            <w:r w:rsidRPr="00C916F7">
              <w:rPr>
                <w:rFonts w:ascii="Arial" w:hAnsi="Arial" w:cs="Arial"/>
              </w:rPr>
              <w:t xml:space="preserve">quality of care; the monthly </w:t>
            </w:r>
            <w:r w:rsidR="00226ADE">
              <w:rPr>
                <w:rFonts w:ascii="Arial" w:hAnsi="Arial" w:cs="Arial"/>
              </w:rPr>
              <w:t>SDR</w:t>
            </w:r>
            <w:r>
              <w:rPr>
                <w:rFonts w:ascii="Arial" w:hAnsi="Arial" w:cs="Arial"/>
              </w:rPr>
              <w:t xml:space="preserve"> receive</w:t>
            </w:r>
            <w:r w:rsidRPr="00C916F7">
              <w:rPr>
                <w:rFonts w:ascii="Arial" w:hAnsi="Arial" w:cs="Arial"/>
              </w:rPr>
              <w:t xml:space="preserve"> a performance report </w:t>
            </w:r>
            <w:r w:rsidR="00226ADE">
              <w:rPr>
                <w:rFonts w:ascii="Arial" w:hAnsi="Arial" w:cs="Arial"/>
              </w:rPr>
              <w:t>on the key quality metrics via</w:t>
            </w:r>
            <w:r w:rsidR="00F7170A">
              <w:rPr>
                <w:rFonts w:ascii="Arial" w:hAnsi="Arial" w:cs="Arial"/>
              </w:rPr>
              <w:t xml:space="preserve"> the BAF reporting framework.  </w:t>
            </w:r>
          </w:p>
          <w:p w14:paraId="7BEA912D" w14:textId="77777777" w:rsidR="000E4F81" w:rsidRDefault="000E4F81" w:rsidP="00457B35">
            <w:pPr>
              <w:rPr>
                <w:rFonts w:ascii="Arial" w:hAnsi="Arial" w:cs="Arial"/>
              </w:rPr>
            </w:pPr>
          </w:p>
          <w:p w14:paraId="70D073DD" w14:textId="77777777" w:rsidR="000E4F81" w:rsidRDefault="000E4F81" w:rsidP="00457B35">
            <w:pPr>
              <w:rPr>
                <w:rFonts w:ascii="Arial" w:hAnsi="Arial" w:cs="Arial"/>
              </w:rPr>
            </w:pPr>
            <w:r>
              <w:rPr>
                <w:rFonts w:ascii="Arial" w:hAnsi="Arial" w:cs="Arial"/>
              </w:rPr>
              <w:t xml:space="preserve">The Quality Committee Chair reports any key decisions, risks and escalations to the Board.  </w:t>
            </w:r>
          </w:p>
          <w:p w14:paraId="07F9E3B1" w14:textId="77777777" w:rsidR="000E4F81" w:rsidRDefault="000E4F81" w:rsidP="00457B35">
            <w:pPr>
              <w:rPr>
                <w:rFonts w:ascii="Arial" w:hAnsi="Arial" w:cs="Arial"/>
              </w:rPr>
            </w:pPr>
          </w:p>
          <w:p w14:paraId="18A0C143" w14:textId="77777777" w:rsidR="000E4F81" w:rsidRDefault="000E4F81" w:rsidP="00457B35">
            <w:pPr>
              <w:rPr>
                <w:rFonts w:ascii="Arial" w:hAnsi="Arial" w:cs="Arial"/>
              </w:rPr>
            </w:pPr>
            <w:r>
              <w:rPr>
                <w:rFonts w:ascii="Arial" w:hAnsi="Arial" w:cs="Arial"/>
              </w:rPr>
              <w:t>d) As above - the B</w:t>
            </w:r>
            <w:r w:rsidRPr="00C916F7">
              <w:rPr>
                <w:rFonts w:ascii="Arial" w:hAnsi="Arial" w:cs="Arial"/>
              </w:rPr>
              <w:t xml:space="preserve">oard receives a report from the </w:t>
            </w:r>
            <w:r>
              <w:rPr>
                <w:rFonts w:ascii="Arial" w:hAnsi="Arial" w:cs="Arial"/>
              </w:rPr>
              <w:t>Quality Committee Chair and receives approved minutes of the Committee at the Board meeting held in private. The B</w:t>
            </w:r>
            <w:r w:rsidRPr="00C916F7">
              <w:rPr>
                <w:rFonts w:ascii="Arial" w:hAnsi="Arial" w:cs="Arial"/>
              </w:rPr>
              <w:t xml:space="preserve">oard also receives the </w:t>
            </w:r>
            <w:r>
              <w:rPr>
                <w:rFonts w:ascii="Arial" w:hAnsi="Arial" w:cs="Arial"/>
              </w:rPr>
              <w:t xml:space="preserve">Quality Account. </w:t>
            </w:r>
          </w:p>
          <w:p w14:paraId="6A22F783" w14:textId="77777777" w:rsidR="000E4F81" w:rsidRDefault="000E4F81" w:rsidP="00457B35">
            <w:pPr>
              <w:rPr>
                <w:rFonts w:ascii="Arial" w:hAnsi="Arial" w:cs="Arial"/>
              </w:rPr>
            </w:pPr>
          </w:p>
          <w:p w14:paraId="5A7E4411" w14:textId="77777777" w:rsidR="000E4F81" w:rsidRDefault="000E4F81" w:rsidP="00457B35">
            <w:pPr>
              <w:rPr>
                <w:rFonts w:ascii="Arial" w:hAnsi="Arial" w:cs="Arial"/>
              </w:rPr>
            </w:pPr>
          </w:p>
          <w:p w14:paraId="39061419" w14:textId="77777777" w:rsidR="000E4F81" w:rsidRDefault="000E4F81" w:rsidP="00457B35">
            <w:pPr>
              <w:rPr>
                <w:rFonts w:ascii="Arial" w:hAnsi="Arial" w:cs="Arial"/>
              </w:rPr>
            </w:pPr>
          </w:p>
          <w:p w14:paraId="0C3E51A5" w14:textId="76B2D717" w:rsidR="00B90E86" w:rsidRDefault="000E4F81" w:rsidP="00457B35">
            <w:pPr>
              <w:rPr>
                <w:rFonts w:ascii="Arial" w:hAnsi="Arial" w:cs="Arial"/>
              </w:rPr>
            </w:pPr>
            <w:r>
              <w:rPr>
                <w:rFonts w:ascii="Arial" w:hAnsi="Arial" w:cs="Arial"/>
              </w:rPr>
              <w:t xml:space="preserve">e) </w:t>
            </w:r>
            <w:r w:rsidR="00B90E86">
              <w:rPr>
                <w:rFonts w:ascii="Arial" w:hAnsi="Arial" w:cs="Arial"/>
              </w:rPr>
              <w:t xml:space="preserve">The Board, both Executive and Non-executive Directors play an active part in the organisation and the </w:t>
            </w:r>
            <w:r w:rsidR="00F7170A">
              <w:rPr>
                <w:rFonts w:ascii="Arial" w:hAnsi="Arial" w:cs="Arial"/>
              </w:rPr>
              <w:t>visibility</w:t>
            </w:r>
            <w:r w:rsidR="00B90E86">
              <w:rPr>
                <w:rFonts w:ascii="Arial" w:hAnsi="Arial" w:cs="Arial"/>
              </w:rPr>
              <w:t xml:space="preserve"> of this was highlighted in the NHS Staff Survey.  This has been further enhanced in year with a programme of “Meet the Executives” and</w:t>
            </w:r>
            <w:r w:rsidR="00226ADE">
              <w:rPr>
                <w:rFonts w:ascii="Arial" w:hAnsi="Arial" w:cs="Arial"/>
              </w:rPr>
              <w:t xml:space="preserve"> </w:t>
            </w:r>
            <w:proofErr w:type="spellStart"/>
            <w:r w:rsidR="00226ADE">
              <w:rPr>
                <w:rFonts w:ascii="Arial" w:hAnsi="Arial" w:cs="Arial"/>
              </w:rPr>
              <w:t>Gembas</w:t>
            </w:r>
            <w:proofErr w:type="spellEnd"/>
            <w:r w:rsidR="00B90E86">
              <w:rPr>
                <w:rFonts w:ascii="Arial" w:hAnsi="Arial" w:cs="Arial"/>
              </w:rPr>
              <w:t xml:space="preserve"> </w:t>
            </w:r>
            <w:r w:rsidR="00226ADE">
              <w:rPr>
                <w:rFonts w:ascii="Arial" w:hAnsi="Arial" w:cs="Arial"/>
              </w:rPr>
              <w:t>(Walk-</w:t>
            </w:r>
            <w:proofErr w:type="spellStart"/>
            <w:r w:rsidR="00226ADE">
              <w:rPr>
                <w:rFonts w:ascii="Arial" w:hAnsi="Arial" w:cs="Arial"/>
              </w:rPr>
              <w:t>arounds</w:t>
            </w:r>
            <w:proofErr w:type="spellEnd"/>
            <w:r w:rsidR="00226ADE">
              <w:rPr>
                <w:rFonts w:ascii="Arial" w:hAnsi="Arial" w:cs="Arial"/>
              </w:rPr>
              <w:t>)</w:t>
            </w:r>
            <w:r w:rsidR="00B90E86">
              <w:rPr>
                <w:rFonts w:ascii="Arial" w:hAnsi="Arial" w:cs="Arial"/>
              </w:rPr>
              <w:t xml:space="preserve"> </w:t>
            </w:r>
            <w:r w:rsidR="00226ADE">
              <w:rPr>
                <w:rFonts w:ascii="Arial" w:hAnsi="Arial" w:cs="Arial"/>
              </w:rPr>
              <w:t>in place.</w:t>
            </w:r>
            <w:r w:rsidR="00B90E86">
              <w:rPr>
                <w:rFonts w:ascii="Arial" w:hAnsi="Arial" w:cs="Arial"/>
              </w:rPr>
              <w:t xml:space="preserve"> </w:t>
            </w:r>
          </w:p>
          <w:p w14:paraId="0BF9F99B" w14:textId="77777777" w:rsidR="00B90E86" w:rsidRDefault="00B90E86" w:rsidP="00457B35">
            <w:pPr>
              <w:rPr>
                <w:rFonts w:ascii="Arial" w:hAnsi="Arial" w:cs="Arial"/>
              </w:rPr>
            </w:pPr>
          </w:p>
          <w:p w14:paraId="393DC758" w14:textId="23F8CCA3" w:rsidR="000E4F81" w:rsidRDefault="000E4F81" w:rsidP="00457B35">
            <w:pPr>
              <w:rPr>
                <w:rFonts w:ascii="Arial" w:hAnsi="Arial" w:cs="Arial"/>
              </w:rPr>
            </w:pPr>
            <w:r>
              <w:rPr>
                <w:rFonts w:ascii="Arial" w:hAnsi="Arial" w:cs="Arial"/>
              </w:rPr>
              <w:lastRenderedPageBreak/>
              <w:t xml:space="preserve">Freedom to Speak Up arrangements were strengthened with the support of associate FTSUGs and champions, the “At Our Best” programme to support the cultural agenda, the health and well-being offer was particular strengthened, which was all overseen by People and Culture Committee. </w:t>
            </w:r>
            <w:r w:rsidR="00226ADE">
              <w:rPr>
                <w:rFonts w:ascii="Arial" w:hAnsi="Arial" w:cs="Arial"/>
              </w:rPr>
              <w:t xml:space="preserve"> In addition, further resource was allocated to the role with a full time Guardian in the process of being recruited to at the time of writing.</w:t>
            </w:r>
          </w:p>
          <w:p w14:paraId="121540A8" w14:textId="77777777" w:rsidR="000E4F81" w:rsidRDefault="000E4F81" w:rsidP="00457B35">
            <w:pPr>
              <w:rPr>
                <w:rFonts w:ascii="Arial" w:hAnsi="Arial" w:cs="Arial"/>
              </w:rPr>
            </w:pPr>
          </w:p>
          <w:p w14:paraId="545E1DA9" w14:textId="2E4E320B" w:rsidR="000E4F81" w:rsidRDefault="000E4F81" w:rsidP="00457B35">
            <w:pPr>
              <w:rPr>
                <w:rFonts w:ascii="Arial" w:hAnsi="Arial" w:cs="Arial"/>
              </w:rPr>
            </w:pPr>
            <w:r>
              <w:rPr>
                <w:rFonts w:ascii="Arial" w:hAnsi="Arial" w:cs="Arial"/>
              </w:rPr>
              <w:t>One of the Non-executive Director</w:t>
            </w:r>
            <w:r w:rsidRPr="00C916F7">
              <w:rPr>
                <w:rFonts w:ascii="Arial" w:hAnsi="Arial" w:cs="Arial"/>
              </w:rPr>
              <w:t>s</w:t>
            </w:r>
            <w:r>
              <w:rPr>
                <w:rFonts w:ascii="Arial" w:hAnsi="Arial" w:cs="Arial"/>
              </w:rPr>
              <w:t xml:space="preserve"> (NED)</w:t>
            </w:r>
            <w:r w:rsidRPr="00C916F7">
              <w:rPr>
                <w:rFonts w:ascii="Arial" w:hAnsi="Arial" w:cs="Arial"/>
              </w:rPr>
              <w:t xml:space="preserve"> </w:t>
            </w:r>
            <w:r>
              <w:rPr>
                <w:rFonts w:ascii="Arial" w:hAnsi="Arial" w:cs="Arial"/>
              </w:rPr>
              <w:t>is nominated as a NED lead to support ‘Freedom to Speak Up</w:t>
            </w:r>
            <w:r w:rsidRPr="00C916F7">
              <w:rPr>
                <w:rFonts w:ascii="Arial" w:hAnsi="Arial" w:cs="Arial"/>
              </w:rPr>
              <w:t>’ for</w:t>
            </w:r>
            <w:r>
              <w:rPr>
                <w:rFonts w:ascii="Arial" w:hAnsi="Arial" w:cs="Arial"/>
              </w:rPr>
              <w:t xml:space="preserve"> the Trust and the </w:t>
            </w:r>
            <w:r w:rsidR="00206356">
              <w:rPr>
                <w:rFonts w:ascii="Arial" w:hAnsi="Arial" w:cs="Arial"/>
              </w:rPr>
              <w:t>Executive Director of Nursing, Midwifery and AHPs</w:t>
            </w:r>
            <w:r>
              <w:rPr>
                <w:rFonts w:ascii="Arial" w:hAnsi="Arial" w:cs="Arial"/>
              </w:rPr>
              <w:t xml:space="preserve"> support the assurance arrangements in place to provide advice and support to the Board as necessary. </w:t>
            </w:r>
          </w:p>
          <w:p w14:paraId="39A4B1D0" w14:textId="77777777" w:rsidR="000E4F81" w:rsidRDefault="000E4F81" w:rsidP="00457B35">
            <w:pPr>
              <w:rPr>
                <w:rFonts w:ascii="Arial" w:hAnsi="Arial" w:cs="Arial"/>
              </w:rPr>
            </w:pPr>
          </w:p>
          <w:p w14:paraId="32341D7E" w14:textId="1247D675" w:rsidR="00206356" w:rsidRDefault="000E4F81" w:rsidP="00457B35">
            <w:pPr>
              <w:rPr>
                <w:rFonts w:ascii="Arial" w:hAnsi="Arial" w:cs="Arial"/>
              </w:rPr>
            </w:pPr>
            <w:r>
              <w:rPr>
                <w:rFonts w:ascii="Arial" w:hAnsi="Arial" w:cs="Arial"/>
              </w:rPr>
              <w:t xml:space="preserve">The members of the Board, </w:t>
            </w:r>
            <w:r w:rsidR="00206356">
              <w:rPr>
                <w:rFonts w:ascii="Arial" w:hAnsi="Arial" w:cs="Arial"/>
              </w:rPr>
              <w:t xml:space="preserve">meet </w:t>
            </w:r>
            <w:r>
              <w:rPr>
                <w:rFonts w:ascii="Arial" w:hAnsi="Arial" w:cs="Arial"/>
              </w:rPr>
              <w:t xml:space="preserve">with the Council of Governors </w:t>
            </w:r>
            <w:r w:rsidR="00206356">
              <w:rPr>
                <w:rFonts w:ascii="Arial" w:hAnsi="Arial" w:cs="Arial"/>
              </w:rPr>
              <w:t>formally 4 times a year with</w:t>
            </w:r>
            <w:r w:rsidR="00F7170A">
              <w:rPr>
                <w:rFonts w:ascii="Arial" w:hAnsi="Arial" w:cs="Arial"/>
              </w:rPr>
              <w:t xml:space="preserve"> additional</w:t>
            </w:r>
            <w:r w:rsidR="00206356">
              <w:rPr>
                <w:rFonts w:ascii="Arial" w:hAnsi="Arial" w:cs="Arial"/>
              </w:rPr>
              <w:t xml:space="preserve"> informal meetings being held.  Ad hoc activities are also programmed in </w:t>
            </w:r>
            <w:r w:rsidR="00F7170A">
              <w:rPr>
                <w:rFonts w:ascii="Arial" w:hAnsi="Arial" w:cs="Arial"/>
              </w:rPr>
              <w:t>throughout</w:t>
            </w:r>
            <w:bookmarkStart w:id="0" w:name="_GoBack"/>
            <w:bookmarkEnd w:id="0"/>
            <w:r w:rsidR="00206356">
              <w:rPr>
                <w:rFonts w:ascii="Arial" w:hAnsi="Arial" w:cs="Arial"/>
              </w:rPr>
              <w:t xml:space="preserve"> the year.</w:t>
            </w:r>
          </w:p>
          <w:p w14:paraId="31EF3626" w14:textId="77777777" w:rsidR="00206356" w:rsidRDefault="00206356" w:rsidP="00457B35">
            <w:pPr>
              <w:rPr>
                <w:rFonts w:ascii="Arial" w:hAnsi="Arial" w:cs="Arial"/>
              </w:rPr>
            </w:pPr>
          </w:p>
          <w:p w14:paraId="6B3B866F" w14:textId="77777777" w:rsidR="000E4F81" w:rsidRDefault="000E4F81" w:rsidP="00457B35">
            <w:pPr>
              <w:rPr>
                <w:rFonts w:ascii="Arial" w:hAnsi="Arial" w:cs="Arial"/>
              </w:rPr>
            </w:pPr>
          </w:p>
          <w:p w14:paraId="65A12EF5" w14:textId="558A22A1" w:rsidR="000E4F81" w:rsidRPr="002E1AC7" w:rsidRDefault="000E4F81" w:rsidP="00457B35">
            <w:pPr>
              <w:rPr>
                <w:rFonts w:ascii="Arial" w:hAnsi="Arial" w:cs="Arial"/>
              </w:rPr>
            </w:pPr>
            <w:r w:rsidRPr="00C916F7">
              <w:rPr>
                <w:rFonts w:ascii="Arial" w:hAnsi="Arial" w:cs="Arial"/>
              </w:rPr>
              <w:t xml:space="preserve">f) There is clear accountability for quality of care through the </w:t>
            </w:r>
            <w:r>
              <w:rPr>
                <w:rFonts w:ascii="Arial" w:hAnsi="Arial" w:cs="Arial"/>
              </w:rPr>
              <w:t xml:space="preserve">governance structures in place across the Trust, which reported to the </w:t>
            </w:r>
            <w:r w:rsidR="00206356">
              <w:rPr>
                <w:rFonts w:ascii="Arial" w:hAnsi="Arial" w:cs="Arial"/>
              </w:rPr>
              <w:t>Executive Director of Nursing, Midwifery and AHPs and the Executive Medical Director supported by the Associate Director of Quality and Corporate Affairs</w:t>
            </w:r>
            <w:r>
              <w:rPr>
                <w:rFonts w:ascii="Arial" w:hAnsi="Arial" w:cs="Arial"/>
              </w:rPr>
              <w:t xml:space="preserve">.  </w:t>
            </w:r>
          </w:p>
          <w:p w14:paraId="739356BA" w14:textId="77777777" w:rsidR="000E4F81" w:rsidRDefault="000E4F81" w:rsidP="00457B35">
            <w:pPr>
              <w:rPr>
                <w:rFonts w:ascii="Arial" w:hAnsi="Arial" w:cs="Arial"/>
                <w:b/>
              </w:rPr>
            </w:pPr>
          </w:p>
        </w:tc>
        <w:tc>
          <w:tcPr>
            <w:tcW w:w="2409" w:type="dxa"/>
          </w:tcPr>
          <w:p w14:paraId="767302B8" w14:textId="77777777" w:rsidR="000E4F81" w:rsidRPr="00440E24" w:rsidRDefault="000E4F81" w:rsidP="00457B35">
            <w:pPr>
              <w:rPr>
                <w:rFonts w:ascii="Arial" w:hAnsi="Arial" w:cs="Arial"/>
              </w:rPr>
            </w:pPr>
            <w:r w:rsidRPr="00440E24">
              <w:rPr>
                <w:rFonts w:ascii="Arial" w:hAnsi="Arial" w:cs="Arial"/>
              </w:rPr>
              <w:lastRenderedPageBreak/>
              <w:t>No risks identified</w:t>
            </w:r>
          </w:p>
        </w:tc>
      </w:tr>
      <w:tr w:rsidR="000E4F81" w14:paraId="20156E54" w14:textId="77777777" w:rsidTr="00457B35">
        <w:trPr>
          <w:trHeight w:val="1036"/>
        </w:trPr>
        <w:tc>
          <w:tcPr>
            <w:tcW w:w="534" w:type="dxa"/>
          </w:tcPr>
          <w:p w14:paraId="66A6889F" w14:textId="77777777" w:rsidR="000E4F81" w:rsidRDefault="000E4F81" w:rsidP="00457B35">
            <w:pPr>
              <w:rPr>
                <w:rFonts w:ascii="Arial" w:hAnsi="Arial" w:cs="Arial"/>
              </w:rPr>
            </w:pPr>
            <w:r>
              <w:rPr>
                <w:rFonts w:ascii="Arial" w:hAnsi="Arial" w:cs="Arial"/>
              </w:rPr>
              <w:t>6.</w:t>
            </w:r>
          </w:p>
        </w:tc>
        <w:tc>
          <w:tcPr>
            <w:tcW w:w="4252" w:type="dxa"/>
          </w:tcPr>
          <w:p w14:paraId="1DD41AEC" w14:textId="77777777" w:rsidR="000E4F81" w:rsidRPr="00C916F7" w:rsidRDefault="000E4F81" w:rsidP="00457B35">
            <w:pPr>
              <w:rPr>
                <w:rFonts w:ascii="Arial" w:hAnsi="Arial" w:cs="Arial"/>
              </w:rPr>
            </w:pPr>
            <w:r w:rsidRPr="00C916F7">
              <w:rPr>
                <w:rFonts w:ascii="Arial" w:hAnsi="Arial" w:cs="Arial"/>
              </w:rPr>
              <w:t xml:space="preserve">The Board is satisfied that there are systems to ensure that the Licensee has in place personnel on the Board, reporting to the Board and within the rest of the organisation who are sufficient in number and appropriately qualified to ensure compliance with the conditions of its NHS provider licence. </w:t>
            </w:r>
          </w:p>
          <w:p w14:paraId="6D199D6F" w14:textId="77777777" w:rsidR="000E4F81" w:rsidRPr="00C916F7" w:rsidRDefault="000E4F81" w:rsidP="00457B35">
            <w:pPr>
              <w:rPr>
                <w:rFonts w:ascii="Arial" w:hAnsi="Arial" w:cs="Arial"/>
              </w:rPr>
            </w:pPr>
          </w:p>
        </w:tc>
        <w:tc>
          <w:tcPr>
            <w:tcW w:w="7088" w:type="dxa"/>
          </w:tcPr>
          <w:p w14:paraId="0AB99307" w14:textId="77777777" w:rsidR="000E4F81" w:rsidRDefault="000E4F81" w:rsidP="00457B35">
            <w:pPr>
              <w:rPr>
                <w:rFonts w:ascii="Arial" w:hAnsi="Arial" w:cs="Arial"/>
                <w:b/>
              </w:rPr>
            </w:pPr>
            <w:r>
              <w:rPr>
                <w:rFonts w:ascii="Arial" w:hAnsi="Arial" w:cs="Arial"/>
                <w:b/>
              </w:rPr>
              <w:t>Confirmed</w:t>
            </w:r>
          </w:p>
          <w:p w14:paraId="0C4A3602" w14:textId="0157CD22" w:rsidR="000E4F81" w:rsidRDefault="000E4F81" w:rsidP="00457B35">
            <w:pPr>
              <w:rPr>
                <w:rFonts w:ascii="Arial" w:hAnsi="Arial" w:cs="Arial"/>
              </w:rPr>
            </w:pPr>
            <w:r>
              <w:rPr>
                <w:rFonts w:ascii="Arial" w:hAnsi="Arial" w:cs="Arial"/>
              </w:rPr>
              <w:t>All members of the Board, Clinical Directors,</w:t>
            </w:r>
            <w:r w:rsidR="00206356">
              <w:rPr>
                <w:rFonts w:ascii="Arial" w:hAnsi="Arial" w:cs="Arial"/>
              </w:rPr>
              <w:t xml:space="preserve"> relevant</w:t>
            </w:r>
            <w:r>
              <w:rPr>
                <w:rFonts w:ascii="Arial" w:hAnsi="Arial" w:cs="Arial"/>
              </w:rPr>
              <w:t xml:space="preserve"> Deputy Directors and those that carrying out a role to provide advice to the Board </w:t>
            </w:r>
            <w:r w:rsidRPr="00C916F7">
              <w:rPr>
                <w:rFonts w:ascii="Arial" w:hAnsi="Arial" w:cs="Arial"/>
              </w:rPr>
              <w:t>comply with the requirements of the Fit and Proper Persons Reg</w:t>
            </w:r>
            <w:r>
              <w:rPr>
                <w:rFonts w:ascii="Arial" w:hAnsi="Arial" w:cs="Arial"/>
              </w:rPr>
              <w:t>ulation.  All members of the B</w:t>
            </w:r>
            <w:r w:rsidRPr="00C916F7">
              <w:rPr>
                <w:rFonts w:ascii="Arial" w:hAnsi="Arial" w:cs="Arial"/>
              </w:rPr>
              <w:t xml:space="preserve">oard and senior decision makers </w:t>
            </w:r>
            <w:r>
              <w:rPr>
                <w:rFonts w:ascii="Arial" w:hAnsi="Arial" w:cs="Arial"/>
              </w:rPr>
              <w:t>are required to comply with the</w:t>
            </w:r>
            <w:r w:rsidRPr="00C916F7">
              <w:rPr>
                <w:rFonts w:ascii="Arial" w:hAnsi="Arial" w:cs="Arial"/>
              </w:rPr>
              <w:t xml:space="preserve"> declaration of interests</w:t>
            </w:r>
            <w:r>
              <w:rPr>
                <w:rFonts w:ascii="Arial" w:hAnsi="Arial" w:cs="Arial"/>
              </w:rPr>
              <w:t xml:space="preserve"> including loyalty interest policy, which was refreshed and processes and systems strengthened during the year</w:t>
            </w:r>
            <w:r w:rsidRPr="00C916F7">
              <w:rPr>
                <w:rFonts w:ascii="Arial" w:hAnsi="Arial" w:cs="Arial"/>
              </w:rPr>
              <w:t xml:space="preserve">.  </w:t>
            </w:r>
          </w:p>
          <w:p w14:paraId="1606A2A0" w14:textId="77777777" w:rsidR="000E4F81" w:rsidRPr="00C916F7" w:rsidRDefault="000E4F81" w:rsidP="00457B35">
            <w:pPr>
              <w:rPr>
                <w:rFonts w:ascii="Arial" w:hAnsi="Arial" w:cs="Arial"/>
              </w:rPr>
            </w:pPr>
          </w:p>
          <w:p w14:paraId="17999AEF" w14:textId="77777777" w:rsidR="000E4F81" w:rsidRDefault="000E4F81" w:rsidP="00457B35">
            <w:pPr>
              <w:rPr>
                <w:rFonts w:ascii="Arial" w:hAnsi="Arial" w:cs="Arial"/>
              </w:rPr>
            </w:pPr>
            <w:r w:rsidRPr="00C916F7">
              <w:rPr>
                <w:rFonts w:ascii="Arial" w:hAnsi="Arial" w:cs="Arial"/>
              </w:rPr>
              <w:lastRenderedPageBreak/>
              <w:t xml:space="preserve">The annual appraisal process supports effective succession planning through talent conversations and a number of senior managers are engaged in national programmes to support their development to Director level, as appropriate. </w:t>
            </w:r>
          </w:p>
          <w:p w14:paraId="7AD98F3F" w14:textId="77777777" w:rsidR="000E4F81" w:rsidRPr="00C916F7" w:rsidRDefault="000E4F81" w:rsidP="00457B35">
            <w:pPr>
              <w:rPr>
                <w:rFonts w:ascii="Arial" w:hAnsi="Arial" w:cs="Arial"/>
              </w:rPr>
            </w:pPr>
            <w:r w:rsidRPr="00C916F7">
              <w:rPr>
                <w:rFonts w:ascii="Arial" w:hAnsi="Arial" w:cs="Arial"/>
              </w:rPr>
              <w:t xml:space="preserve"> </w:t>
            </w:r>
          </w:p>
          <w:p w14:paraId="07596E95" w14:textId="77777777" w:rsidR="000E4F81" w:rsidRDefault="000E4F81" w:rsidP="00457B35">
            <w:pPr>
              <w:rPr>
                <w:rFonts w:ascii="Arial" w:hAnsi="Arial" w:cs="Arial"/>
                <w:b/>
              </w:rPr>
            </w:pPr>
            <w:r>
              <w:rPr>
                <w:rFonts w:ascii="Arial" w:hAnsi="Arial" w:cs="Arial"/>
              </w:rPr>
              <w:t>The Board of Directors during the year had considered its development needs discussing</w:t>
            </w:r>
            <w:r w:rsidRPr="00C916F7">
              <w:rPr>
                <w:rFonts w:ascii="Arial" w:hAnsi="Arial" w:cs="Arial"/>
              </w:rPr>
              <w:t xml:space="preserve"> </w:t>
            </w:r>
            <w:r>
              <w:rPr>
                <w:rFonts w:ascii="Arial" w:hAnsi="Arial" w:cs="Arial"/>
              </w:rPr>
              <w:t xml:space="preserve">through its Board Workshops. External </w:t>
            </w:r>
            <w:r w:rsidRPr="00C916F7">
              <w:rPr>
                <w:rFonts w:ascii="Arial" w:hAnsi="Arial" w:cs="Arial"/>
              </w:rPr>
              <w:t xml:space="preserve">facilitation </w:t>
            </w:r>
            <w:r>
              <w:rPr>
                <w:rFonts w:ascii="Arial" w:hAnsi="Arial" w:cs="Arial"/>
              </w:rPr>
              <w:t>was engaged to support the Board development agenda throughout the year</w:t>
            </w:r>
            <w:r w:rsidRPr="00C916F7">
              <w:rPr>
                <w:rFonts w:ascii="Arial" w:hAnsi="Arial" w:cs="Arial"/>
              </w:rPr>
              <w:t>.</w:t>
            </w:r>
            <w:r>
              <w:rPr>
                <w:rFonts w:ascii="Arial" w:hAnsi="Arial" w:cs="Arial"/>
                <w:b/>
              </w:rPr>
              <w:t xml:space="preserve">  </w:t>
            </w:r>
          </w:p>
          <w:p w14:paraId="0CF40600" w14:textId="77777777" w:rsidR="000E4F81" w:rsidRDefault="000E4F81" w:rsidP="00457B35">
            <w:pPr>
              <w:rPr>
                <w:rFonts w:ascii="Arial" w:hAnsi="Arial" w:cs="Arial"/>
                <w:b/>
              </w:rPr>
            </w:pPr>
          </w:p>
        </w:tc>
        <w:tc>
          <w:tcPr>
            <w:tcW w:w="2409" w:type="dxa"/>
          </w:tcPr>
          <w:p w14:paraId="0896E680" w14:textId="77777777" w:rsidR="000E4F81" w:rsidRPr="00440E24" w:rsidRDefault="000E4F81" w:rsidP="00457B35">
            <w:pPr>
              <w:rPr>
                <w:rFonts w:ascii="Arial" w:hAnsi="Arial" w:cs="Arial"/>
              </w:rPr>
            </w:pPr>
            <w:r>
              <w:rPr>
                <w:rFonts w:ascii="Arial" w:hAnsi="Arial" w:cs="Arial"/>
              </w:rPr>
              <w:lastRenderedPageBreak/>
              <w:t>No risks identified</w:t>
            </w:r>
          </w:p>
        </w:tc>
      </w:tr>
    </w:tbl>
    <w:p w14:paraId="3C1D8530" w14:textId="77777777" w:rsidR="0048304B" w:rsidRDefault="0048304B" w:rsidP="00C96EC9">
      <w:pPr>
        <w:ind w:left="720"/>
        <w:rPr>
          <w:rFonts w:ascii="Arial" w:hAnsi="Arial" w:cs="Arial"/>
          <w:b/>
        </w:rPr>
        <w:sectPr w:rsidR="0048304B" w:rsidSect="000E4F81">
          <w:pgSz w:w="16838" w:h="11906" w:orient="landscape" w:code="9"/>
          <w:pgMar w:top="1134" w:right="1440" w:bottom="1134" w:left="1440" w:header="709" w:footer="709" w:gutter="0"/>
          <w:cols w:space="708"/>
          <w:docGrid w:linePitch="360"/>
        </w:sectPr>
      </w:pPr>
    </w:p>
    <w:p w14:paraId="62DDE4F1" w14:textId="1493FA78" w:rsidR="000E4F81" w:rsidRDefault="0048304B" w:rsidP="00C96EC9">
      <w:pPr>
        <w:ind w:left="720"/>
        <w:rPr>
          <w:rFonts w:ascii="Arial" w:hAnsi="Arial" w:cs="Arial"/>
          <w:b/>
        </w:rPr>
      </w:pPr>
      <w:r>
        <w:rPr>
          <w:rFonts w:ascii="Arial" w:hAnsi="Arial" w:cs="Arial"/>
          <w:b/>
        </w:rPr>
        <w:lastRenderedPageBreak/>
        <w:t xml:space="preserve">Appendix 2 – Statements </w:t>
      </w:r>
      <w:proofErr w:type="gramStart"/>
      <w:r>
        <w:rPr>
          <w:rFonts w:ascii="Arial" w:hAnsi="Arial" w:cs="Arial"/>
          <w:b/>
        </w:rPr>
        <w:t>Required</w:t>
      </w:r>
      <w:proofErr w:type="gramEnd"/>
      <w:r>
        <w:rPr>
          <w:rFonts w:ascii="Arial" w:hAnsi="Arial" w:cs="Arial"/>
          <w:b/>
        </w:rPr>
        <w:t xml:space="preserve"> to be Confirm</w:t>
      </w:r>
      <w:r w:rsidR="00576428">
        <w:rPr>
          <w:rFonts w:ascii="Arial" w:hAnsi="Arial" w:cs="Arial"/>
          <w:b/>
        </w:rPr>
        <w:t>ed by Board by May and June 2025</w:t>
      </w:r>
    </w:p>
    <w:p w14:paraId="210809A9" w14:textId="1F6F33CF" w:rsidR="0048304B" w:rsidRPr="0048304B" w:rsidRDefault="0048304B" w:rsidP="00C96EC9">
      <w:pPr>
        <w:ind w:left="720"/>
        <w:rPr>
          <w:rFonts w:ascii="Arial" w:hAnsi="Arial" w:cs="Arial"/>
          <w:b/>
        </w:rPr>
      </w:pPr>
      <w:r w:rsidRPr="0048304B">
        <w:rPr>
          <w:rFonts w:ascii="Arial" w:hAnsi="Arial" w:cs="Arial"/>
          <w:b/>
        </w:rPr>
        <w:t>1. Statements required to be confirmed by Board</w:t>
      </w:r>
      <w:r w:rsidR="00576428">
        <w:rPr>
          <w:rFonts w:ascii="Arial" w:hAnsi="Arial" w:cs="Arial"/>
          <w:b/>
        </w:rPr>
        <w:t xml:space="preserve"> by 31 May 2025</w:t>
      </w:r>
      <w:r w:rsidRPr="0048304B">
        <w:rPr>
          <w:rFonts w:ascii="Arial" w:hAnsi="Arial" w:cs="Arial"/>
          <w:b/>
        </w:rPr>
        <w:t xml:space="preserve"> </w:t>
      </w:r>
    </w:p>
    <w:p w14:paraId="7C156D68" w14:textId="77777777" w:rsidR="0048304B" w:rsidRDefault="0048304B" w:rsidP="00C96EC9">
      <w:pPr>
        <w:ind w:left="720"/>
        <w:rPr>
          <w:rFonts w:ascii="Arial" w:hAnsi="Arial" w:cs="Arial"/>
        </w:rPr>
      </w:pPr>
      <w:r w:rsidRPr="0048304B">
        <w:rPr>
          <w:rFonts w:ascii="Arial" w:hAnsi="Arial" w:cs="Arial"/>
          <w:b/>
        </w:rPr>
        <w:t>G6 Declaration</w:t>
      </w:r>
      <w:r w:rsidRPr="0048304B">
        <w:rPr>
          <w:rFonts w:ascii="Arial" w:hAnsi="Arial" w:cs="Arial"/>
        </w:rPr>
        <w:t xml:space="preserve"> </w:t>
      </w:r>
    </w:p>
    <w:p w14:paraId="404F75B6" w14:textId="77777777" w:rsidR="0048304B" w:rsidRDefault="0048304B" w:rsidP="00C96EC9">
      <w:pPr>
        <w:ind w:left="720"/>
        <w:rPr>
          <w:rFonts w:ascii="Arial" w:hAnsi="Arial" w:cs="Arial"/>
        </w:rPr>
      </w:pPr>
      <w:r w:rsidRPr="0048304B">
        <w:rPr>
          <w:rFonts w:ascii="Arial" w:hAnsi="Arial" w:cs="Arial"/>
        </w:rPr>
        <w:t xml:space="preserve">Following a review for the purpose of paragraph 2(b) of licence condition G6, the Directors of the Licensee are satisfied that, in the Financial Year most recently ended, the Licensee took all such precautions as were necessary in order to comply with the conditions of the licence, any requirements imposed on it under the NHS Acts and have had regard to the NHS Constitution. </w:t>
      </w:r>
    </w:p>
    <w:p w14:paraId="4D82A25C" w14:textId="77777777" w:rsidR="0048304B" w:rsidRDefault="0048304B" w:rsidP="00C96EC9">
      <w:pPr>
        <w:ind w:left="720"/>
        <w:rPr>
          <w:rFonts w:ascii="Arial" w:hAnsi="Arial" w:cs="Arial"/>
        </w:rPr>
      </w:pPr>
      <w:r w:rsidRPr="0048304B">
        <w:rPr>
          <w:rFonts w:ascii="Arial" w:hAnsi="Arial" w:cs="Arial"/>
          <w:b/>
        </w:rPr>
        <w:t>CoS7 Declarations</w:t>
      </w:r>
      <w:r w:rsidRPr="0048304B">
        <w:rPr>
          <w:rFonts w:ascii="Arial" w:hAnsi="Arial" w:cs="Arial"/>
        </w:rPr>
        <w:t xml:space="preserve"> </w:t>
      </w:r>
    </w:p>
    <w:p w14:paraId="14653026" w14:textId="77777777" w:rsidR="0048304B" w:rsidRDefault="0048304B" w:rsidP="00C96EC9">
      <w:pPr>
        <w:ind w:left="720"/>
        <w:rPr>
          <w:rFonts w:ascii="Arial" w:hAnsi="Arial" w:cs="Arial"/>
        </w:rPr>
      </w:pPr>
      <w:r w:rsidRPr="0048304B">
        <w:rPr>
          <w:rFonts w:ascii="Arial" w:hAnsi="Arial" w:cs="Arial"/>
        </w:rPr>
        <w:t>After making enquiries the Directors of the Licensee have a reasonable expectation that the Licensee will have the Required Resources available to it after taking account distributions which might reasonably be expected to be declared or paid for the period of 12 months referred to in this certificate.</w:t>
      </w:r>
    </w:p>
    <w:p w14:paraId="32CC86A8" w14:textId="77777777" w:rsidR="0048304B" w:rsidRDefault="0048304B" w:rsidP="00C96EC9">
      <w:pPr>
        <w:ind w:left="720"/>
        <w:rPr>
          <w:rFonts w:ascii="Arial" w:hAnsi="Arial" w:cs="Arial"/>
        </w:rPr>
      </w:pPr>
    </w:p>
    <w:p w14:paraId="49B9BE46" w14:textId="671A44A6" w:rsidR="0048304B" w:rsidRDefault="0048304B" w:rsidP="00C96EC9">
      <w:pPr>
        <w:ind w:left="720"/>
        <w:rPr>
          <w:rFonts w:ascii="Arial" w:hAnsi="Arial" w:cs="Arial"/>
          <w:b/>
        </w:rPr>
      </w:pPr>
      <w:r w:rsidRPr="0048304B">
        <w:rPr>
          <w:rFonts w:ascii="Arial" w:hAnsi="Arial" w:cs="Arial"/>
          <w:b/>
        </w:rPr>
        <w:t>2. Statements required to be co</w:t>
      </w:r>
      <w:r w:rsidR="00576428">
        <w:rPr>
          <w:rFonts w:ascii="Arial" w:hAnsi="Arial" w:cs="Arial"/>
          <w:b/>
        </w:rPr>
        <w:t>nfirmed by Board by 30 June 2025</w:t>
      </w:r>
    </w:p>
    <w:p w14:paraId="0EBB1AF4" w14:textId="77777777" w:rsidR="0048304B" w:rsidRDefault="0048304B" w:rsidP="00C96EC9">
      <w:pPr>
        <w:ind w:left="720"/>
        <w:rPr>
          <w:rFonts w:ascii="Arial" w:hAnsi="Arial" w:cs="Arial"/>
        </w:rPr>
      </w:pPr>
      <w:r w:rsidRPr="0048304B">
        <w:rPr>
          <w:rFonts w:ascii="Arial" w:hAnsi="Arial" w:cs="Arial"/>
          <w:b/>
        </w:rPr>
        <w:t>FT4 Declaration</w:t>
      </w:r>
      <w:r w:rsidRPr="0048304B">
        <w:rPr>
          <w:rFonts w:ascii="Arial" w:hAnsi="Arial" w:cs="Arial"/>
        </w:rPr>
        <w:t xml:space="preserve"> </w:t>
      </w:r>
    </w:p>
    <w:p w14:paraId="649B94E8" w14:textId="77777777" w:rsidR="0048304B" w:rsidRDefault="0048304B" w:rsidP="00C96EC9">
      <w:pPr>
        <w:ind w:left="720"/>
        <w:rPr>
          <w:rFonts w:ascii="Arial" w:hAnsi="Arial" w:cs="Arial"/>
        </w:rPr>
      </w:pPr>
      <w:r w:rsidRPr="0048304B">
        <w:rPr>
          <w:rFonts w:ascii="Arial" w:hAnsi="Arial" w:cs="Arial"/>
        </w:rPr>
        <w:t xml:space="preserve">1. The Board is satisfied that the Licensee applies those principles, systems and standards of good corporate governance which reasonably would be regarded as appropriate for a supplier of health care services to the NHS. </w:t>
      </w:r>
    </w:p>
    <w:p w14:paraId="54AFE040" w14:textId="77777777" w:rsidR="0048304B" w:rsidRDefault="0048304B" w:rsidP="00C96EC9">
      <w:pPr>
        <w:ind w:left="720"/>
        <w:rPr>
          <w:rFonts w:ascii="Arial" w:hAnsi="Arial" w:cs="Arial"/>
        </w:rPr>
      </w:pPr>
      <w:r w:rsidRPr="0048304B">
        <w:rPr>
          <w:rFonts w:ascii="Arial" w:hAnsi="Arial" w:cs="Arial"/>
        </w:rPr>
        <w:t xml:space="preserve">2. The Board has regard to such guidance on good corporate governance as may be issued by NHS Improvement from time to time </w:t>
      </w:r>
    </w:p>
    <w:p w14:paraId="3E34C85D" w14:textId="77777777" w:rsidR="0048304B" w:rsidRDefault="0048304B" w:rsidP="00C96EC9">
      <w:pPr>
        <w:ind w:left="720"/>
        <w:rPr>
          <w:rFonts w:ascii="Arial" w:hAnsi="Arial" w:cs="Arial"/>
        </w:rPr>
      </w:pPr>
      <w:r w:rsidRPr="0048304B">
        <w:rPr>
          <w:rFonts w:ascii="Arial" w:hAnsi="Arial" w:cs="Arial"/>
        </w:rPr>
        <w:t xml:space="preserve">3. The Board is satisfied that the Licensee has established and implements: a. Effective board and committee structures; b. Clear responsibilities for its Board, for committees reporting to the Board and for staff reporting to the Board and those committees; and c. Clear reporting lines and accountabilities throughout its organisation. </w:t>
      </w:r>
    </w:p>
    <w:p w14:paraId="739E2681" w14:textId="77777777" w:rsidR="0048304B" w:rsidRDefault="0048304B" w:rsidP="00C96EC9">
      <w:pPr>
        <w:ind w:left="720"/>
        <w:rPr>
          <w:rFonts w:ascii="Arial" w:hAnsi="Arial" w:cs="Arial"/>
        </w:rPr>
      </w:pPr>
      <w:r w:rsidRPr="0048304B">
        <w:rPr>
          <w:rFonts w:ascii="Arial" w:hAnsi="Arial" w:cs="Arial"/>
        </w:rPr>
        <w:t xml:space="preserve">4. The Board is satisfied that the Licensee has established and effectively implements systems and/or processes: </w:t>
      </w:r>
    </w:p>
    <w:p w14:paraId="220E3E4F" w14:textId="77777777" w:rsidR="0048304B" w:rsidRDefault="0048304B" w:rsidP="00C96EC9">
      <w:pPr>
        <w:ind w:left="720"/>
        <w:rPr>
          <w:rFonts w:ascii="Arial" w:hAnsi="Arial" w:cs="Arial"/>
        </w:rPr>
      </w:pPr>
      <w:r w:rsidRPr="0048304B">
        <w:rPr>
          <w:rFonts w:ascii="Arial" w:hAnsi="Arial" w:cs="Arial"/>
        </w:rPr>
        <w:t xml:space="preserve">a. To ensure compliance with the Licensee’s duty to operate efficiently, economically and effectively; </w:t>
      </w:r>
    </w:p>
    <w:p w14:paraId="1D905BF1" w14:textId="77777777" w:rsidR="0048304B" w:rsidRDefault="0048304B" w:rsidP="00C96EC9">
      <w:pPr>
        <w:ind w:left="720"/>
        <w:rPr>
          <w:rFonts w:ascii="Arial" w:hAnsi="Arial" w:cs="Arial"/>
        </w:rPr>
      </w:pPr>
      <w:proofErr w:type="gramStart"/>
      <w:r w:rsidRPr="0048304B">
        <w:rPr>
          <w:rFonts w:ascii="Arial" w:hAnsi="Arial" w:cs="Arial"/>
        </w:rPr>
        <w:t>b</w:t>
      </w:r>
      <w:proofErr w:type="gramEnd"/>
      <w:r w:rsidRPr="0048304B">
        <w:rPr>
          <w:rFonts w:ascii="Arial" w:hAnsi="Arial" w:cs="Arial"/>
        </w:rPr>
        <w:t xml:space="preserve">. For timely and effective scrutiny and oversight by the Board of the Licensee’s operations; </w:t>
      </w:r>
    </w:p>
    <w:p w14:paraId="69701D0C" w14:textId="77777777" w:rsidR="0048304B" w:rsidRDefault="0048304B" w:rsidP="00C96EC9">
      <w:pPr>
        <w:ind w:left="720"/>
        <w:rPr>
          <w:rFonts w:ascii="Arial" w:hAnsi="Arial" w:cs="Arial"/>
        </w:rPr>
      </w:pPr>
      <w:r w:rsidRPr="0048304B">
        <w:rPr>
          <w:rFonts w:ascii="Arial" w:hAnsi="Arial" w:cs="Arial"/>
        </w:rPr>
        <w:t xml:space="preserve">c. To ensure compliance with health care standards binding on the Licensee including but not restricted to standards specified by the Secretary of State, the Care Quality Commission, the NHS Commissioning Board and statutory regulators of health care professions; </w:t>
      </w:r>
    </w:p>
    <w:p w14:paraId="5359E590" w14:textId="77777777" w:rsidR="0048304B" w:rsidRDefault="0048304B" w:rsidP="00C96EC9">
      <w:pPr>
        <w:ind w:left="720"/>
        <w:rPr>
          <w:rFonts w:ascii="Arial" w:hAnsi="Arial" w:cs="Arial"/>
        </w:rPr>
      </w:pPr>
      <w:r w:rsidRPr="0048304B">
        <w:rPr>
          <w:rFonts w:ascii="Arial" w:hAnsi="Arial" w:cs="Arial"/>
        </w:rPr>
        <w:t xml:space="preserve">d. For effective financial decision-making, management and control (including but not restricted to appropriate systems and/or processes to ensure the Licensee’s ability to continue as a going concern); </w:t>
      </w:r>
    </w:p>
    <w:p w14:paraId="3C71D9A5" w14:textId="77777777" w:rsidR="0048304B" w:rsidRDefault="0048304B" w:rsidP="00C96EC9">
      <w:pPr>
        <w:ind w:left="720"/>
        <w:rPr>
          <w:rFonts w:ascii="Arial" w:hAnsi="Arial" w:cs="Arial"/>
        </w:rPr>
      </w:pPr>
      <w:r w:rsidRPr="0048304B">
        <w:rPr>
          <w:rFonts w:ascii="Arial" w:hAnsi="Arial" w:cs="Arial"/>
        </w:rPr>
        <w:t xml:space="preserve">e. To obtain and disseminate accurate, comprehensive, timely and up to date information for Board and Committee decision-making </w:t>
      </w:r>
    </w:p>
    <w:p w14:paraId="7310CB49" w14:textId="77777777" w:rsidR="0048304B" w:rsidRDefault="0048304B" w:rsidP="00C96EC9">
      <w:pPr>
        <w:ind w:left="720"/>
        <w:rPr>
          <w:rFonts w:ascii="Arial" w:hAnsi="Arial" w:cs="Arial"/>
        </w:rPr>
      </w:pPr>
      <w:r w:rsidRPr="0048304B">
        <w:rPr>
          <w:rFonts w:ascii="Arial" w:hAnsi="Arial" w:cs="Arial"/>
        </w:rPr>
        <w:lastRenderedPageBreak/>
        <w:t xml:space="preserve">f. To identify and manage (including but not restricted to manage through forward plans) material risks to compliance with the Conditions of its Licence; </w:t>
      </w:r>
    </w:p>
    <w:p w14:paraId="31F0F052" w14:textId="77777777" w:rsidR="0048304B" w:rsidRDefault="0048304B" w:rsidP="00C96EC9">
      <w:pPr>
        <w:ind w:left="720"/>
        <w:rPr>
          <w:rFonts w:ascii="Arial" w:hAnsi="Arial" w:cs="Arial"/>
        </w:rPr>
      </w:pPr>
      <w:r w:rsidRPr="0048304B">
        <w:rPr>
          <w:rFonts w:ascii="Arial" w:hAnsi="Arial" w:cs="Arial"/>
        </w:rPr>
        <w:t xml:space="preserve">g. To generate and monitor delivery of business plans (including any changes to such plans) and to receive internal and where appropriate external assurance on such plans and their delivery; and h. To ensure compliance with all applicable legal requirements. </w:t>
      </w:r>
    </w:p>
    <w:p w14:paraId="52851F4F" w14:textId="77777777" w:rsidR="0048304B" w:rsidRDefault="0048304B" w:rsidP="00C96EC9">
      <w:pPr>
        <w:ind w:left="720"/>
        <w:rPr>
          <w:rFonts w:ascii="Arial" w:hAnsi="Arial" w:cs="Arial"/>
        </w:rPr>
      </w:pPr>
      <w:r w:rsidRPr="0048304B">
        <w:rPr>
          <w:rFonts w:ascii="Arial" w:hAnsi="Arial" w:cs="Arial"/>
        </w:rPr>
        <w:t>5. The Board is satisfied that the systems and/or processes referred to in paragraph 4 (above) should include but not be restricted to systems and/or processes to ensure:</w:t>
      </w:r>
    </w:p>
    <w:p w14:paraId="6638A695" w14:textId="77777777" w:rsidR="0048304B" w:rsidRDefault="0048304B" w:rsidP="00C96EC9">
      <w:pPr>
        <w:ind w:left="720"/>
        <w:rPr>
          <w:rFonts w:ascii="Arial" w:hAnsi="Arial" w:cs="Arial"/>
        </w:rPr>
      </w:pPr>
      <w:r w:rsidRPr="0048304B">
        <w:rPr>
          <w:rFonts w:ascii="Arial" w:hAnsi="Arial" w:cs="Arial"/>
        </w:rPr>
        <w:t xml:space="preserve">a. That there is sufficient capability at Board level to provide effective organisational leadership on the quality of care provided; </w:t>
      </w:r>
    </w:p>
    <w:p w14:paraId="1F4DC3A8" w14:textId="77777777" w:rsidR="0048304B" w:rsidRDefault="0048304B" w:rsidP="00C96EC9">
      <w:pPr>
        <w:ind w:left="720"/>
        <w:rPr>
          <w:rFonts w:ascii="Arial" w:hAnsi="Arial" w:cs="Arial"/>
        </w:rPr>
      </w:pPr>
      <w:r w:rsidRPr="0048304B">
        <w:rPr>
          <w:rFonts w:ascii="Arial" w:hAnsi="Arial" w:cs="Arial"/>
        </w:rPr>
        <w:t xml:space="preserve">b. That the Board’s planning and decision-making processes take timely and appropriate account of quality of care considerations; </w:t>
      </w:r>
    </w:p>
    <w:p w14:paraId="119DA299" w14:textId="77777777" w:rsidR="0048304B" w:rsidRDefault="0048304B" w:rsidP="00C96EC9">
      <w:pPr>
        <w:ind w:left="720"/>
        <w:rPr>
          <w:rFonts w:ascii="Arial" w:hAnsi="Arial" w:cs="Arial"/>
        </w:rPr>
      </w:pPr>
      <w:r w:rsidRPr="0048304B">
        <w:rPr>
          <w:rFonts w:ascii="Arial" w:hAnsi="Arial" w:cs="Arial"/>
        </w:rPr>
        <w:t xml:space="preserve">c. The collection of accurate, comprehensive, timely and up to date information on quality of care; </w:t>
      </w:r>
    </w:p>
    <w:p w14:paraId="57A03974" w14:textId="77777777" w:rsidR="0048304B" w:rsidRDefault="0048304B" w:rsidP="00C96EC9">
      <w:pPr>
        <w:ind w:left="720"/>
        <w:rPr>
          <w:rFonts w:ascii="Arial" w:hAnsi="Arial" w:cs="Arial"/>
        </w:rPr>
      </w:pPr>
      <w:r w:rsidRPr="0048304B">
        <w:rPr>
          <w:rFonts w:ascii="Arial" w:hAnsi="Arial" w:cs="Arial"/>
        </w:rPr>
        <w:t xml:space="preserve">d. That the Board receives and takes into account accurate, comprehensive, timely and up to date information on quality of care; </w:t>
      </w:r>
    </w:p>
    <w:p w14:paraId="0F110786" w14:textId="77777777" w:rsidR="0048304B" w:rsidRDefault="0048304B" w:rsidP="00C96EC9">
      <w:pPr>
        <w:ind w:left="720"/>
        <w:rPr>
          <w:rFonts w:ascii="Arial" w:hAnsi="Arial" w:cs="Arial"/>
        </w:rPr>
      </w:pPr>
      <w:r w:rsidRPr="0048304B">
        <w:rPr>
          <w:rFonts w:ascii="Arial" w:hAnsi="Arial" w:cs="Arial"/>
        </w:rPr>
        <w:t xml:space="preserve">e. That the Licensee, including its Board, actively engages on quality of care with patients, staff and other relevant stakeholders and takes into account as appropriate views and information from these sources; and </w:t>
      </w:r>
    </w:p>
    <w:p w14:paraId="74460AEA" w14:textId="77777777" w:rsidR="0048304B" w:rsidRDefault="0048304B" w:rsidP="00C96EC9">
      <w:pPr>
        <w:ind w:left="720"/>
        <w:rPr>
          <w:rFonts w:ascii="Arial" w:hAnsi="Arial" w:cs="Arial"/>
        </w:rPr>
      </w:pPr>
      <w:r w:rsidRPr="0048304B">
        <w:rPr>
          <w:rFonts w:ascii="Arial" w:hAnsi="Arial" w:cs="Arial"/>
        </w:rPr>
        <w:t xml:space="preserve">f. That there is clear accountability for quality of care throughout the Licensee including but not restricted to systems and/or processes for escalating and resolving quality issues including escalating them to the Board where appropriate. </w:t>
      </w:r>
    </w:p>
    <w:p w14:paraId="1331DEA6" w14:textId="77777777" w:rsidR="0048304B" w:rsidRDefault="0048304B" w:rsidP="00C96EC9">
      <w:pPr>
        <w:ind w:left="720"/>
        <w:rPr>
          <w:rFonts w:ascii="Arial" w:hAnsi="Arial" w:cs="Arial"/>
        </w:rPr>
      </w:pPr>
      <w:r w:rsidRPr="0048304B">
        <w:rPr>
          <w:rFonts w:ascii="Arial" w:hAnsi="Arial" w:cs="Arial"/>
        </w:rPr>
        <w:t xml:space="preserve">6. The Board is satisfied that there are systems to ensure that the Licensee has in place personnel on the Board, reporting to the Board and within the rest of the organisation who are sufficient in number and appropriately qualified to ensure compliance with the conditions of its NHS provider licence. </w:t>
      </w:r>
    </w:p>
    <w:p w14:paraId="102F2527" w14:textId="77777777" w:rsidR="0048304B" w:rsidRDefault="0048304B" w:rsidP="00C96EC9">
      <w:pPr>
        <w:ind w:left="720"/>
        <w:rPr>
          <w:rFonts w:ascii="Arial" w:hAnsi="Arial" w:cs="Arial"/>
        </w:rPr>
      </w:pPr>
    </w:p>
    <w:p w14:paraId="4ED66341" w14:textId="77777777" w:rsidR="0048304B" w:rsidRDefault="0048304B" w:rsidP="00C96EC9">
      <w:pPr>
        <w:ind w:left="720"/>
        <w:rPr>
          <w:rFonts w:ascii="Arial" w:hAnsi="Arial" w:cs="Arial"/>
        </w:rPr>
      </w:pPr>
      <w:r w:rsidRPr="0048304B">
        <w:rPr>
          <w:rFonts w:ascii="Arial" w:hAnsi="Arial" w:cs="Arial"/>
          <w:b/>
        </w:rPr>
        <w:t xml:space="preserve">3. Certification on Training of Governors in accordance with </w:t>
      </w:r>
      <w:proofErr w:type="gramStart"/>
      <w:r w:rsidRPr="0048304B">
        <w:rPr>
          <w:rFonts w:ascii="Arial" w:hAnsi="Arial" w:cs="Arial"/>
          <w:b/>
        </w:rPr>
        <w:t>s151(</w:t>
      </w:r>
      <w:proofErr w:type="gramEnd"/>
      <w:r w:rsidRPr="0048304B">
        <w:rPr>
          <w:rFonts w:ascii="Arial" w:hAnsi="Arial" w:cs="Arial"/>
          <w:b/>
        </w:rPr>
        <w:t>5) of the Health and Social Care Act 2012</w:t>
      </w:r>
      <w:r w:rsidRPr="0048304B">
        <w:rPr>
          <w:rFonts w:ascii="Arial" w:hAnsi="Arial" w:cs="Arial"/>
        </w:rPr>
        <w:t xml:space="preserve"> </w:t>
      </w:r>
    </w:p>
    <w:p w14:paraId="748F58FB" w14:textId="11AA8145" w:rsidR="0048304B" w:rsidRPr="0048304B" w:rsidRDefault="0048304B" w:rsidP="00C96EC9">
      <w:pPr>
        <w:ind w:left="720"/>
        <w:rPr>
          <w:rFonts w:ascii="Arial" w:hAnsi="Arial" w:cs="Arial"/>
          <w:b/>
        </w:rPr>
      </w:pPr>
      <w:r w:rsidRPr="0048304B">
        <w:rPr>
          <w:rFonts w:ascii="Arial" w:hAnsi="Arial" w:cs="Arial"/>
        </w:rPr>
        <w:t>The Board is satisfied that during the financial year most recently ended the Licensee has provided the necessary training to its Governors, as required in s151(5) of the Health and Social Care Act, to ensure they are equipped with the skills and knowledge they need to undertake their role</w:t>
      </w:r>
      <w:r>
        <w:rPr>
          <w:rFonts w:ascii="Arial" w:hAnsi="Arial" w:cs="Arial"/>
        </w:rPr>
        <w:t>.</w:t>
      </w:r>
    </w:p>
    <w:sectPr w:rsidR="0048304B" w:rsidRPr="0048304B" w:rsidSect="0048304B">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7EEF0" w14:textId="77777777" w:rsidR="00F522CA" w:rsidRDefault="00F522CA" w:rsidP="0096555E">
      <w:pPr>
        <w:spacing w:after="0" w:line="240" w:lineRule="auto"/>
      </w:pPr>
      <w:r>
        <w:separator/>
      </w:r>
    </w:p>
  </w:endnote>
  <w:endnote w:type="continuationSeparator" w:id="0">
    <w:p w14:paraId="5C89EFA0" w14:textId="77777777" w:rsidR="00F522CA" w:rsidRDefault="00F522CA" w:rsidP="0096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F050" w14:textId="7DC07AB6" w:rsidR="00EF2C9C" w:rsidRDefault="00EF2C9C" w:rsidP="00324DBF">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33EEA" w14:textId="77777777" w:rsidR="00F522CA" w:rsidRDefault="00F522CA" w:rsidP="0096555E">
      <w:pPr>
        <w:spacing w:after="0" w:line="240" w:lineRule="auto"/>
      </w:pPr>
      <w:r>
        <w:separator/>
      </w:r>
    </w:p>
  </w:footnote>
  <w:footnote w:type="continuationSeparator" w:id="0">
    <w:p w14:paraId="6737A1FA" w14:textId="77777777" w:rsidR="00F522CA" w:rsidRDefault="00F522CA" w:rsidP="0096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4BF1" w14:textId="0B41B558" w:rsidR="00E749CA" w:rsidRDefault="00E749CA">
    <w:pPr>
      <w:pStyle w:val="Header"/>
    </w:pPr>
    <w:r w:rsidRPr="00814DFE">
      <w:rPr>
        <w:rFonts w:ascii="Arial" w:hAnsi="Arial" w:cs="Arial"/>
        <w:b/>
        <w:bCs/>
        <w:noProof/>
        <w:sz w:val="24"/>
        <w:szCs w:val="28"/>
        <w:lang w:eastAsia="en-GB"/>
      </w:rPr>
      <w:drawing>
        <wp:anchor distT="0" distB="0" distL="114300" distR="114300" simplePos="0" relativeHeight="251659264" behindDoc="0" locked="0" layoutInCell="1" allowOverlap="1" wp14:anchorId="5B3222D7" wp14:editId="25015CE8">
          <wp:simplePos x="0" y="0"/>
          <wp:positionH relativeFrom="margin">
            <wp:posOffset>15240</wp:posOffset>
          </wp:positionH>
          <wp:positionV relativeFrom="paragraph">
            <wp:posOffset>-389255</wp:posOffset>
          </wp:positionV>
          <wp:extent cx="2003425" cy="7283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HDFT Logo.png"/>
                  <pic:cNvPicPr/>
                </pic:nvPicPr>
                <pic:blipFill>
                  <a:blip r:embed="rId1" cstate="email">
                    <a:extLst>
                      <a:ext uri="{28A0092B-C50C-407E-A947-70E740481C1C}">
                        <a14:useLocalDpi xmlns:a14="http://schemas.microsoft.com/office/drawing/2010/main"/>
                      </a:ext>
                    </a:extLst>
                  </a:blip>
                  <a:stretch>
                    <a:fillRect/>
                  </a:stretch>
                </pic:blipFill>
                <pic:spPr>
                  <a:xfrm>
                    <a:off x="0" y="0"/>
                    <a:ext cx="2003425" cy="728345"/>
                  </a:xfrm>
                  <a:prstGeom prst="rect">
                    <a:avLst/>
                  </a:prstGeom>
                </pic:spPr>
              </pic:pic>
            </a:graphicData>
          </a:graphic>
          <wp14:sizeRelH relativeFrom="page">
            <wp14:pctWidth>0</wp14:pctWidth>
          </wp14:sizeRelH>
          <wp14:sizeRelV relativeFrom="page">
            <wp14:pctHeight>0</wp14:pctHeight>
          </wp14:sizeRelV>
        </wp:anchor>
      </w:drawing>
    </w:r>
    <w:r w:rsidRPr="00814DFE">
      <w:rPr>
        <w:rFonts w:ascii="Arial" w:hAnsi="Arial" w:cs="Arial"/>
        <w:b/>
        <w:bCs/>
        <w:noProof/>
        <w:sz w:val="24"/>
        <w:szCs w:val="28"/>
        <w:lang w:eastAsia="en-GB"/>
      </w:rPr>
      <w:drawing>
        <wp:anchor distT="0" distB="0" distL="114300" distR="114300" simplePos="0" relativeHeight="251660288" behindDoc="0" locked="0" layoutInCell="1" allowOverlap="1" wp14:anchorId="2A4189E9" wp14:editId="72D6A724">
          <wp:simplePos x="0" y="0"/>
          <wp:positionH relativeFrom="margin">
            <wp:posOffset>4336415</wp:posOffset>
          </wp:positionH>
          <wp:positionV relativeFrom="paragraph">
            <wp:posOffset>-340995</wp:posOffset>
          </wp:positionV>
          <wp:extent cx="1796415" cy="739140"/>
          <wp:effectExtent l="0" t="0" r="0" b="3810"/>
          <wp:wrapNone/>
          <wp:docPr id="1798367042" name="Picture 1798367042" descr="C:\Users\l.parsons\AppData\Local\Microsoft\Windows\Temporary Internet Files\Content.Outlook\WSCDEF5M\hdft-logo-trimmed-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rsons\AppData\Local\Microsoft\Windows\Temporary Internet Files\Content.Outlook\WSCDEF5M\hdft-logo-trimmed-white.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179641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E09"/>
    <w:multiLevelType w:val="hybridMultilevel"/>
    <w:tmpl w:val="70E21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B4A89"/>
    <w:multiLevelType w:val="hybridMultilevel"/>
    <w:tmpl w:val="7EBA222A"/>
    <w:lvl w:ilvl="0" w:tplc="6DB8C77E">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44E4E"/>
    <w:multiLevelType w:val="hybridMultilevel"/>
    <w:tmpl w:val="A84C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A16D1"/>
    <w:multiLevelType w:val="hybridMultilevel"/>
    <w:tmpl w:val="E8EC59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34734"/>
    <w:multiLevelType w:val="hybridMultilevel"/>
    <w:tmpl w:val="9F529FEE"/>
    <w:lvl w:ilvl="0" w:tplc="19E85810">
      <w:start w:val="1"/>
      <w:numFmt w:val="bullet"/>
      <w:lvlText w:val="•"/>
      <w:lvlJc w:val="left"/>
      <w:pPr>
        <w:tabs>
          <w:tab w:val="num" w:pos="720"/>
        </w:tabs>
        <w:ind w:left="720" w:hanging="360"/>
      </w:pPr>
      <w:rPr>
        <w:rFonts w:ascii="Arial" w:hAnsi="Arial" w:hint="default"/>
      </w:rPr>
    </w:lvl>
    <w:lvl w:ilvl="1" w:tplc="C2001146" w:tentative="1">
      <w:start w:val="1"/>
      <w:numFmt w:val="bullet"/>
      <w:lvlText w:val="•"/>
      <w:lvlJc w:val="left"/>
      <w:pPr>
        <w:tabs>
          <w:tab w:val="num" w:pos="1440"/>
        </w:tabs>
        <w:ind w:left="1440" w:hanging="360"/>
      </w:pPr>
      <w:rPr>
        <w:rFonts w:ascii="Arial" w:hAnsi="Arial" w:hint="default"/>
      </w:rPr>
    </w:lvl>
    <w:lvl w:ilvl="2" w:tplc="093C83D2" w:tentative="1">
      <w:start w:val="1"/>
      <w:numFmt w:val="bullet"/>
      <w:lvlText w:val="•"/>
      <w:lvlJc w:val="left"/>
      <w:pPr>
        <w:tabs>
          <w:tab w:val="num" w:pos="2160"/>
        </w:tabs>
        <w:ind w:left="2160" w:hanging="360"/>
      </w:pPr>
      <w:rPr>
        <w:rFonts w:ascii="Arial" w:hAnsi="Arial" w:hint="default"/>
      </w:rPr>
    </w:lvl>
    <w:lvl w:ilvl="3" w:tplc="B3346DB8" w:tentative="1">
      <w:start w:val="1"/>
      <w:numFmt w:val="bullet"/>
      <w:lvlText w:val="•"/>
      <w:lvlJc w:val="left"/>
      <w:pPr>
        <w:tabs>
          <w:tab w:val="num" w:pos="2880"/>
        </w:tabs>
        <w:ind w:left="2880" w:hanging="360"/>
      </w:pPr>
      <w:rPr>
        <w:rFonts w:ascii="Arial" w:hAnsi="Arial" w:hint="default"/>
      </w:rPr>
    </w:lvl>
    <w:lvl w:ilvl="4" w:tplc="AD729F98" w:tentative="1">
      <w:start w:val="1"/>
      <w:numFmt w:val="bullet"/>
      <w:lvlText w:val="•"/>
      <w:lvlJc w:val="left"/>
      <w:pPr>
        <w:tabs>
          <w:tab w:val="num" w:pos="3600"/>
        </w:tabs>
        <w:ind w:left="3600" w:hanging="360"/>
      </w:pPr>
      <w:rPr>
        <w:rFonts w:ascii="Arial" w:hAnsi="Arial" w:hint="default"/>
      </w:rPr>
    </w:lvl>
    <w:lvl w:ilvl="5" w:tplc="FFA291BE" w:tentative="1">
      <w:start w:val="1"/>
      <w:numFmt w:val="bullet"/>
      <w:lvlText w:val="•"/>
      <w:lvlJc w:val="left"/>
      <w:pPr>
        <w:tabs>
          <w:tab w:val="num" w:pos="4320"/>
        </w:tabs>
        <w:ind w:left="4320" w:hanging="360"/>
      </w:pPr>
      <w:rPr>
        <w:rFonts w:ascii="Arial" w:hAnsi="Arial" w:hint="default"/>
      </w:rPr>
    </w:lvl>
    <w:lvl w:ilvl="6" w:tplc="C2B087A0" w:tentative="1">
      <w:start w:val="1"/>
      <w:numFmt w:val="bullet"/>
      <w:lvlText w:val="•"/>
      <w:lvlJc w:val="left"/>
      <w:pPr>
        <w:tabs>
          <w:tab w:val="num" w:pos="5040"/>
        </w:tabs>
        <w:ind w:left="5040" w:hanging="360"/>
      </w:pPr>
      <w:rPr>
        <w:rFonts w:ascii="Arial" w:hAnsi="Arial" w:hint="default"/>
      </w:rPr>
    </w:lvl>
    <w:lvl w:ilvl="7" w:tplc="65E45C2C" w:tentative="1">
      <w:start w:val="1"/>
      <w:numFmt w:val="bullet"/>
      <w:lvlText w:val="•"/>
      <w:lvlJc w:val="left"/>
      <w:pPr>
        <w:tabs>
          <w:tab w:val="num" w:pos="5760"/>
        </w:tabs>
        <w:ind w:left="5760" w:hanging="360"/>
      </w:pPr>
      <w:rPr>
        <w:rFonts w:ascii="Arial" w:hAnsi="Arial" w:hint="default"/>
      </w:rPr>
    </w:lvl>
    <w:lvl w:ilvl="8" w:tplc="62EC4F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120B37"/>
    <w:multiLevelType w:val="hybridMultilevel"/>
    <w:tmpl w:val="02442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627CFE"/>
    <w:multiLevelType w:val="hybridMultilevel"/>
    <w:tmpl w:val="DC2C45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2B6B0B"/>
    <w:multiLevelType w:val="hybridMultilevel"/>
    <w:tmpl w:val="AB603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F4648A"/>
    <w:multiLevelType w:val="multilevel"/>
    <w:tmpl w:val="FB488A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07214A"/>
    <w:multiLevelType w:val="hybridMultilevel"/>
    <w:tmpl w:val="A6E8AF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B36232F"/>
    <w:multiLevelType w:val="hybridMultilevel"/>
    <w:tmpl w:val="F820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12722"/>
    <w:multiLevelType w:val="hybridMultilevel"/>
    <w:tmpl w:val="672805BE"/>
    <w:lvl w:ilvl="0" w:tplc="3C587EE4">
      <w:numFmt w:val="bullet"/>
      <w:lvlText w:val="-"/>
      <w:lvlJc w:val="left"/>
      <w:pPr>
        <w:ind w:left="720" w:hanging="36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57EDC"/>
    <w:multiLevelType w:val="hybridMultilevel"/>
    <w:tmpl w:val="86725EF8"/>
    <w:lvl w:ilvl="0" w:tplc="AD4243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F1C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324533"/>
    <w:multiLevelType w:val="hybridMultilevel"/>
    <w:tmpl w:val="FA46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84906"/>
    <w:multiLevelType w:val="hybridMultilevel"/>
    <w:tmpl w:val="639A7B08"/>
    <w:lvl w:ilvl="0" w:tplc="691239E8">
      <w:start w:val="1"/>
      <w:numFmt w:val="bullet"/>
      <w:lvlText w:val="•"/>
      <w:lvlJc w:val="left"/>
      <w:pPr>
        <w:tabs>
          <w:tab w:val="num" w:pos="720"/>
        </w:tabs>
        <w:ind w:left="720" w:hanging="360"/>
      </w:pPr>
      <w:rPr>
        <w:rFonts w:ascii="Arial" w:hAnsi="Arial" w:hint="default"/>
      </w:rPr>
    </w:lvl>
    <w:lvl w:ilvl="1" w:tplc="F776099A" w:tentative="1">
      <w:start w:val="1"/>
      <w:numFmt w:val="bullet"/>
      <w:lvlText w:val="•"/>
      <w:lvlJc w:val="left"/>
      <w:pPr>
        <w:tabs>
          <w:tab w:val="num" w:pos="1440"/>
        </w:tabs>
        <w:ind w:left="1440" w:hanging="360"/>
      </w:pPr>
      <w:rPr>
        <w:rFonts w:ascii="Arial" w:hAnsi="Arial" w:hint="default"/>
      </w:rPr>
    </w:lvl>
    <w:lvl w:ilvl="2" w:tplc="9EAEE552" w:tentative="1">
      <w:start w:val="1"/>
      <w:numFmt w:val="bullet"/>
      <w:lvlText w:val="•"/>
      <w:lvlJc w:val="left"/>
      <w:pPr>
        <w:tabs>
          <w:tab w:val="num" w:pos="2160"/>
        </w:tabs>
        <w:ind w:left="2160" w:hanging="360"/>
      </w:pPr>
      <w:rPr>
        <w:rFonts w:ascii="Arial" w:hAnsi="Arial" w:hint="default"/>
      </w:rPr>
    </w:lvl>
    <w:lvl w:ilvl="3" w:tplc="0B82F4E2" w:tentative="1">
      <w:start w:val="1"/>
      <w:numFmt w:val="bullet"/>
      <w:lvlText w:val="•"/>
      <w:lvlJc w:val="left"/>
      <w:pPr>
        <w:tabs>
          <w:tab w:val="num" w:pos="2880"/>
        </w:tabs>
        <w:ind w:left="2880" w:hanging="360"/>
      </w:pPr>
      <w:rPr>
        <w:rFonts w:ascii="Arial" w:hAnsi="Arial" w:hint="default"/>
      </w:rPr>
    </w:lvl>
    <w:lvl w:ilvl="4" w:tplc="2B5E447C" w:tentative="1">
      <w:start w:val="1"/>
      <w:numFmt w:val="bullet"/>
      <w:lvlText w:val="•"/>
      <w:lvlJc w:val="left"/>
      <w:pPr>
        <w:tabs>
          <w:tab w:val="num" w:pos="3600"/>
        </w:tabs>
        <w:ind w:left="3600" w:hanging="360"/>
      </w:pPr>
      <w:rPr>
        <w:rFonts w:ascii="Arial" w:hAnsi="Arial" w:hint="default"/>
      </w:rPr>
    </w:lvl>
    <w:lvl w:ilvl="5" w:tplc="D244F7BA" w:tentative="1">
      <w:start w:val="1"/>
      <w:numFmt w:val="bullet"/>
      <w:lvlText w:val="•"/>
      <w:lvlJc w:val="left"/>
      <w:pPr>
        <w:tabs>
          <w:tab w:val="num" w:pos="4320"/>
        </w:tabs>
        <w:ind w:left="4320" w:hanging="360"/>
      </w:pPr>
      <w:rPr>
        <w:rFonts w:ascii="Arial" w:hAnsi="Arial" w:hint="default"/>
      </w:rPr>
    </w:lvl>
    <w:lvl w:ilvl="6" w:tplc="32BA91E0" w:tentative="1">
      <w:start w:val="1"/>
      <w:numFmt w:val="bullet"/>
      <w:lvlText w:val="•"/>
      <w:lvlJc w:val="left"/>
      <w:pPr>
        <w:tabs>
          <w:tab w:val="num" w:pos="5040"/>
        </w:tabs>
        <w:ind w:left="5040" w:hanging="360"/>
      </w:pPr>
      <w:rPr>
        <w:rFonts w:ascii="Arial" w:hAnsi="Arial" w:hint="default"/>
      </w:rPr>
    </w:lvl>
    <w:lvl w:ilvl="7" w:tplc="A7FACD6A" w:tentative="1">
      <w:start w:val="1"/>
      <w:numFmt w:val="bullet"/>
      <w:lvlText w:val="•"/>
      <w:lvlJc w:val="left"/>
      <w:pPr>
        <w:tabs>
          <w:tab w:val="num" w:pos="5760"/>
        </w:tabs>
        <w:ind w:left="5760" w:hanging="360"/>
      </w:pPr>
      <w:rPr>
        <w:rFonts w:ascii="Arial" w:hAnsi="Arial" w:hint="default"/>
      </w:rPr>
    </w:lvl>
    <w:lvl w:ilvl="8" w:tplc="D18EEB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D40D4F"/>
    <w:multiLevelType w:val="hybridMultilevel"/>
    <w:tmpl w:val="0298E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B377E8"/>
    <w:multiLevelType w:val="hybridMultilevel"/>
    <w:tmpl w:val="85E2D8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0E8634A"/>
    <w:multiLevelType w:val="hybridMultilevel"/>
    <w:tmpl w:val="AB347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D27D1B"/>
    <w:multiLevelType w:val="hybridMultilevel"/>
    <w:tmpl w:val="7F98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842B1"/>
    <w:multiLevelType w:val="hybridMultilevel"/>
    <w:tmpl w:val="5FC47F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3D80102B"/>
    <w:multiLevelType w:val="hybridMultilevel"/>
    <w:tmpl w:val="F0881436"/>
    <w:lvl w:ilvl="0" w:tplc="A9E07B58">
      <w:start w:val="1"/>
      <w:numFmt w:val="upperLetter"/>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972CC1"/>
    <w:multiLevelType w:val="hybridMultilevel"/>
    <w:tmpl w:val="67B03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7024B2"/>
    <w:multiLevelType w:val="hybridMultilevel"/>
    <w:tmpl w:val="D49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E1E79"/>
    <w:multiLevelType w:val="hybridMultilevel"/>
    <w:tmpl w:val="81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457B0"/>
    <w:multiLevelType w:val="hybridMultilevel"/>
    <w:tmpl w:val="9CB4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24DBB"/>
    <w:multiLevelType w:val="hybridMultilevel"/>
    <w:tmpl w:val="9E58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B51BDC"/>
    <w:multiLevelType w:val="hybridMultilevel"/>
    <w:tmpl w:val="0380B096"/>
    <w:lvl w:ilvl="0" w:tplc="08090001">
      <w:start w:val="1"/>
      <w:numFmt w:val="bullet"/>
      <w:lvlText w:val=""/>
      <w:lvlJc w:val="left"/>
      <w:pPr>
        <w:ind w:left="1106" w:hanging="360"/>
      </w:pPr>
      <w:rPr>
        <w:rFonts w:ascii="Symbol" w:hAnsi="Symbol" w:hint="default"/>
      </w:rPr>
    </w:lvl>
    <w:lvl w:ilvl="1" w:tplc="08090003" w:tentative="1">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28" w15:restartNumberingAfterBreak="0">
    <w:nsid w:val="55BA7970"/>
    <w:multiLevelType w:val="hybridMultilevel"/>
    <w:tmpl w:val="01D4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71AAE"/>
    <w:multiLevelType w:val="hybridMultilevel"/>
    <w:tmpl w:val="89C6E29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9834CCF"/>
    <w:multiLevelType w:val="multilevel"/>
    <w:tmpl w:val="19DEB016"/>
    <w:lvl w:ilvl="0">
      <w:start w:val="1"/>
      <w:numFmt w:val="decimal"/>
      <w:lvlText w:val="%1."/>
      <w:lvlJc w:val="left"/>
      <w:pPr>
        <w:ind w:left="360" w:hanging="360"/>
      </w:pPr>
      <w:rPr>
        <w:rFonts w:hint="default"/>
      </w:rPr>
    </w:lvl>
    <w:lvl w:ilvl="1">
      <w:start w:val="1"/>
      <w:numFmt w:val="decimal"/>
      <w:lvlText w:val="%1.%2."/>
      <w:lvlJc w:val="left"/>
      <w:pPr>
        <w:ind w:left="891" w:hanging="50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EC6B59"/>
    <w:multiLevelType w:val="hybridMultilevel"/>
    <w:tmpl w:val="0F5C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21751"/>
    <w:multiLevelType w:val="hybridMultilevel"/>
    <w:tmpl w:val="58D0A416"/>
    <w:lvl w:ilvl="0" w:tplc="0809000B">
      <w:start w:val="1"/>
      <w:numFmt w:val="bullet"/>
      <w:lvlText w:val=""/>
      <w:lvlJc w:val="left"/>
      <w:pPr>
        <w:ind w:left="1106" w:hanging="360"/>
      </w:pPr>
      <w:rPr>
        <w:rFonts w:ascii="Wingdings" w:hAnsi="Wingdings" w:hint="default"/>
      </w:rPr>
    </w:lvl>
    <w:lvl w:ilvl="1" w:tplc="0809000B">
      <w:start w:val="1"/>
      <w:numFmt w:val="bullet"/>
      <w:lvlText w:val=""/>
      <w:lvlJc w:val="left"/>
      <w:pPr>
        <w:ind w:left="1826" w:hanging="360"/>
      </w:pPr>
      <w:rPr>
        <w:rFonts w:ascii="Wingdings" w:hAnsi="Wingdings"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33" w15:restartNumberingAfterBreak="0">
    <w:nsid w:val="65A707D6"/>
    <w:multiLevelType w:val="hybridMultilevel"/>
    <w:tmpl w:val="876E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B55B5D"/>
    <w:multiLevelType w:val="hybridMultilevel"/>
    <w:tmpl w:val="7738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385B31"/>
    <w:multiLevelType w:val="hybridMultilevel"/>
    <w:tmpl w:val="3AF2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C03BC"/>
    <w:multiLevelType w:val="hybridMultilevel"/>
    <w:tmpl w:val="966AD8AC"/>
    <w:lvl w:ilvl="0" w:tplc="1DE0A0CE">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7" w15:restartNumberingAfterBreak="0">
    <w:nsid w:val="71A4699A"/>
    <w:multiLevelType w:val="hybridMultilevel"/>
    <w:tmpl w:val="1EAE3EFC"/>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38" w15:restartNumberingAfterBreak="0">
    <w:nsid w:val="75E75DEB"/>
    <w:multiLevelType w:val="hybridMultilevel"/>
    <w:tmpl w:val="6C241E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CB50B18"/>
    <w:multiLevelType w:val="hybridMultilevel"/>
    <w:tmpl w:val="795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E3800"/>
    <w:multiLevelType w:val="multilevel"/>
    <w:tmpl w:val="33C0B6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D8F3DA1"/>
    <w:multiLevelType w:val="hybridMultilevel"/>
    <w:tmpl w:val="63B232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DA856F0"/>
    <w:multiLevelType w:val="hybridMultilevel"/>
    <w:tmpl w:val="E7AE9FA8"/>
    <w:lvl w:ilvl="0" w:tplc="08090001">
      <w:start w:val="1"/>
      <w:numFmt w:val="bullet"/>
      <w:lvlText w:val=""/>
      <w:lvlJc w:val="left"/>
      <w:pPr>
        <w:ind w:left="746" w:hanging="360"/>
      </w:pPr>
      <w:rPr>
        <w:rFonts w:ascii="Symbol" w:hAnsi="Symbol" w:hint="default"/>
      </w:rPr>
    </w:lvl>
    <w:lvl w:ilvl="1" w:tplc="0809000B">
      <w:start w:val="1"/>
      <w:numFmt w:val="bullet"/>
      <w:lvlText w:val=""/>
      <w:lvlJc w:val="left"/>
      <w:pPr>
        <w:ind w:left="1466" w:hanging="360"/>
      </w:pPr>
      <w:rPr>
        <w:rFonts w:ascii="Wingdings" w:hAnsi="Wingdings"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43" w15:restartNumberingAfterBreak="0">
    <w:nsid w:val="7DD51DBB"/>
    <w:multiLevelType w:val="hybridMultilevel"/>
    <w:tmpl w:val="83D03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DF27B5D"/>
    <w:multiLevelType w:val="hybridMultilevel"/>
    <w:tmpl w:val="7B969692"/>
    <w:lvl w:ilvl="0" w:tplc="B64AD09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43"/>
  </w:num>
  <w:num w:numId="4">
    <w:abstractNumId w:val="41"/>
  </w:num>
  <w:num w:numId="5">
    <w:abstractNumId w:val="30"/>
  </w:num>
  <w:num w:numId="6">
    <w:abstractNumId w:val="1"/>
  </w:num>
  <w:num w:numId="7">
    <w:abstractNumId w:val="32"/>
  </w:num>
  <w:num w:numId="8">
    <w:abstractNumId w:val="13"/>
  </w:num>
  <w:num w:numId="9">
    <w:abstractNumId w:val="34"/>
  </w:num>
  <w:num w:numId="10">
    <w:abstractNumId w:val="37"/>
  </w:num>
  <w:num w:numId="11">
    <w:abstractNumId w:val="42"/>
  </w:num>
  <w:num w:numId="12">
    <w:abstractNumId w:val="27"/>
  </w:num>
  <w:num w:numId="13">
    <w:abstractNumId w:val="8"/>
  </w:num>
  <w:num w:numId="14">
    <w:abstractNumId w:val="6"/>
  </w:num>
  <w:num w:numId="15">
    <w:abstractNumId w:val="29"/>
  </w:num>
  <w:num w:numId="16">
    <w:abstractNumId w:val="17"/>
  </w:num>
  <w:num w:numId="17">
    <w:abstractNumId w:val="20"/>
  </w:num>
  <w:num w:numId="18">
    <w:abstractNumId w:val="2"/>
  </w:num>
  <w:num w:numId="19">
    <w:abstractNumId w:val="5"/>
  </w:num>
  <w:num w:numId="20">
    <w:abstractNumId w:val="0"/>
  </w:num>
  <w:num w:numId="21">
    <w:abstractNumId w:val="19"/>
  </w:num>
  <w:num w:numId="22">
    <w:abstractNumId w:val="15"/>
  </w:num>
  <w:num w:numId="23">
    <w:abstractNumId w:val="4"/>
  </w:num>
  <w:num w:numId="24">
    <w:abstractNumId w:val="40"/>
  </w:num>
  <w:num w:numId="25">
    <w:abstractNumId w:val="11"/>
  </w:num>
  <w:num w:numId="26">
    <w:abstractNumId w:val="12"/>
  </w:num>
  <w:num w:numId="27">
    <w:abstractNumId w:val="44"/>
  </w:num>
  <w:num w:numId="28">
    <w:abstractNumId w:val="26"/>
  </w:num>
  <w:num w:numId="29">
    <w:abstractNumId w:val="10"/>
  </w:num>
  <w:num w:numId="30">
    <w:abstractNumId w:val="35"/>
  </w:num>
  <w:num w:numId="31">
    <w:abstractNumId w:val="31"/>
  </w:num>
  <w:num w:numId="32">
    <w:abstractNumId w:val="23"/>
  </w:num>
  <w:num w:numId="33">
    <w:abstractNumId w:val="25"/>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
  </w:num>
  <w:num w:numId="37">
    <w:abstractNumId w:val="7"/>
  </w:num>
  <w:num w:numId="38">
    <w:abstractNumId w:val="16"/>
  </w:num>
  <w:num w:numId="39">
    <w:abstractNumId w:val="24"/>
  </w:num>
  <w:num w:numId="40">
    <w:abstractNumId w:val="28"/>
  </w:num>
  <w:num w:numId="41">
    <w:abstractNumId w:val="39"/>
  </w:num>
  <w:num w:numId="42">
    <w:abstractNumId w:val="18"/>
  </w:num>
  <w:num w:numId="43">
    <w:abstractNumId w:val="38"/>
  </w:num>
  <w:num w:numId="44">
    <w:abstractNumId w:val="14"/>
  </w:num>
  <w:num w:numId="45">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55"/>
    <w:rsid w:val="00003078"/>
    <w:rsid w:val="000068DD"/>
    <w:rsid w:val="0001028F"/>
    <w:rsid w:val="00016E67"/>
    <w:rsid w:val="00022BF2"/>
    <w:rsid w:val="00023179"/>
    <w:rsid w:val="00024CB6"/>
    <w:rsid w:val="000317C8"/>
    <w:rsid w:val="00040FFB"/>
    <w:rsid w:val="00045258"/>
    <w:rsid w:val="00050D65"/>
    <w:rsid w:val="00053429"/>
    <w:rsid w:val="000535E5"/>
    <w:rsid w:val="0005430C"/>
    <w:rsid w:val="00054E57"/>
    <w:rsid w:val="0008500A"/>
    <w:rsid w:val="00090155"/>
    <w:rsid w:val="000962C1"/>
    <w:rsid w:val="000A476D"/>
    <w:rsid w:val="000A51E7"/>
    <w:rsid w:val="000B4C9C"/>
    <w:rsid w:val="000B5715"/>
    <w:rsid w:val="000D1A7C"/>
    <w:rsid w:val="000D30B5"/>
    <w:rsid w:val="000E23FE"/>
    <w:rsid w:val="000E4F81"/>
    <w:rsid w:val="0010227E"/>
    <w:rsid w:val="00106B51"/>
    <w:rsid w:val="00110D81"/>
    <w:rsid w:val="00122B48"/>
    <w:rsid w:val="0012768C"/>
    <w:rsid w:val="00131F28"/>
    <w:rsid w:val="00144FDC"/>
    <w:rsid w:val="00150715"/>
    <w:rsid w:val="00156CF3"/>
    <w:rsid w:val="00157692"/>
    <w:rsid w:val="001652AF"/>
    <w:rsid w:val="001667BE"/>
    <w:rsid w:val="00170E05"/>
    <w:rsid w:val="00172E84"/>
    <w:rsid w:val="001760BB"/>
    <w:rsid w:val="001846E7"/>
    <w:rsid w:val="00187B34"/>
    <w:rsid w:val="00192204"/>
    <w:rsid w:val="00193BBE"/>
    <w:rsid w:val="00196DEF"/>
    <w:rsid w:val="001A14A7"/>
    <w:rsid w:val="001A4829"/>
    <w:rsid w:val="001C240A"/>
    <w:rsid w:val="001C341B"/>
    <w:rsid w:val="001D09C0"/>
    <w:rsid w:val="001D27D2"/>
    <w:rsid w:val="001D2955"/>
    <w:rsid w:val="001D2AE4"/>
    <w:rsid w:val="001E1C1F"/>
    <w:rsid w:val="001E6C2E"/>
    <w:rsid w:val="001F191D"/>
    <w:rsid w:val="001F26F9"/>
    <w:rsid w:val="001F4D2E"/>
    <w:rsid w:val="00206356"/>
    <w:rsid w:val="00210884"/>
    <w:rsid w:val="0021769D"/>
    <w:rsid w:val="0022218A"/>
    <w:rsid w:val="00226ADE"/>
    <w:rsid w:val="00234CCF"/>
    <w:rsid w:val="002361B9"/>
    <w:rsid w:val="0023738C"/>
    <w:rsid w:val="002375A2"/>
    <w:rsid w:val="00237816"/>
    <w:rsid w:val="00242D2E"/>
    <w:rsid w:val="00244E78"/>
    <w:rsid w:val="0025222C"/>
    <w:rsid w:val="002548FC"/>
    <w:rsid w:val="00267463"/>
    <w:rsid w:val="002703C8"/>
    <w:rsid w:val="002704E0"/>
    <w:rsid w:val="00271A06"/>
    <w:rsid w:val="00282ABA"/>
    <w:rsid w:val="002842CF"/>
    <w:rsid w:val="00287E9F"/>
    <w:rsid w:val="00293AA1"/>
    <w:rsid w:val="002A0563"/>
    <w:rsid w:val="002A6AFD"/>
    <w:rsid w:val="002A758F"/>
    <w:rsid w:val="002C775A"/>
    <w:rsid w:val="002D0B31"/>
    <w:rsid w:val="002D27D7"/>
    <w:rsid w:val="002D2DB5"/>
    <w:rsid w:val="002D3DED"/>
    <w:rsid w:val="002D41F7"/>
    <w:rsid w:val="002D79E5"/>
    <w:rsid w:val="002E56E4"/>
    <w:rsid w:val="002E7AFE"/>
    <w:rsid w:val="003005F1"/>
    <w:rsid w:val="00310334"/>
    <w:rsid w:val="00311705"/>
    <w:rsid w:val="00314B54"/>
    <w:rsid w:val="003200A4"/>
    <w:rsid w:val="00321078"/>
    <w:rsid w:val="00322A52"/>
    <w:rsid w:val="00324DBF"/>
    <w:rsid w:val="00325E8D"/>
    <w:rsid w:val="0033381B"/>
    <w:rsid w:val="00343E8B"/>
    <w:rsid w:val="00350AB2"/>
    <w:rsid w:val="00354641"/>
    <w:rsid w:val="003613DC"/>
    <w:rsid w:val="00375C46"/>
    <w:rsid w:val="0038566B"/>
    <w:rsid w:val="00391061"/>
    <w:rsid w:val="003915C9"/>
    <w:rsid w:val="00391919"/>
    <w:rsid w:val="003A2DD4"/>
    <w:rsid w:val="003A4EC7"/>
    <w:rsid w:val="003B6207"/>
    <w:rsid w:val="003B73B9"/>
    <w:rsid w:val="003C55D8"/>
    <w:rsid w:val="003D0E02"/>
    <w:rsid w:val="003E3B51"/>
    <w:rsid w:val="003F689E"/>
    <w:rsid w:val="0040205D"/>
    <w:rsid w:val="00410198"/>
    <w:rsid w:val="004166F6"/>
    <w:rsid w:val="00434138"/>
    <w:rsid w:val="00456722"/>
    <w:rsid w:val="00456A00"/>
    <w:rsid w:val="00467BBD"/>
    <w:rsid w:val="00472BB2"/>
    <w:rsid w:val="0048304B"/>
    <w:rsid w:val="00483B21"/>
    <w:rsid w:val="00486167"/>
    <w:rsid w:val="00486DBB"/>
    <w:rsid w:val="004879D5"/>
    <w:rsid w:val="00496F9F"/>
    <w:rsid w:val="004A0642"/>
    <w:rsid w:val="004A21E6"/>
    <w:rsid w:val="004D091A"/>
    <w:rsid w:val="004D11D6"/>
    <w:rsid w:val="004D4D41"/>
    <w:rsid w:val="004D5448"/>
    <w:rsid w:val="004D6D39"/>
    <w:rsid w:val="004E2F61"/>
    <w:rsid w:val="004F3B1C"/>
    <w:rsid w:val="00500032"/>
    <w:rsid w:val="00501AA2"/>
    <w:rsid w:val="005038CA"/>
    <w:rsid w:val="00503FAE"/>
    <w:rsid w:val="005051C1"/>
    <w:rsid w:val="0051337C"/>
    <w:rsid w:val="0051731E"/>
    <w:rsid w:val="00520A96"/>
    <w:rsid w:val="005223BA"/>
    <w:rsid w:val="0052537E"/>
    <w:rsid w:val="00526BE8"/>
    <w:rsid w:val="00533377"/>
    <w:rsid w:val="00536872"/>
    <w:rsid w:val="00541182"/>
    <w:rsid w:val="00553BEF"/>
    <w:rsid w:val="00557455"/>
    <w:rsid w:val="00557E18"/>
    <w:rsid w:val="00574A15"/>
    <w:rsid w:val="00576428"/>
    <w:rsid w:val="00583247"/>
    <w:rsid w:val="005A5D72"/>
    <w:rsid w:val="005C1403"/>
    <w:rsid w:val="005C1930"/>
    <w:rsid w:val="005C50A8"/>
    <w:rsid w:val="005C7387"/>
    <w:rsid w:val="005D32E3"/>
    <w:rsid w:val="005D5F2D"/>
    <w:rsid w:val="005D5F9D"/>
    <w:rsid w:val="005E2272"/>
    <w:rsid w:val="005E4E55"/>
    <w:rsid w:val="005E7E22"/>
    <w:rsid w:val="00607BCE"/>
    <w:rsid w:val="0061333E"/>
    <w:rsid w:val="006171C4"/>
    <w:rsid w:val="00623899"/>
    <w:rsid w:val="00635EF4"/>
    <w:rsid w:val="00636F8F"/>
    <w:rsid w:val="00644706"/>
    <w:rsid w:val="00652337"/>
    <w:rsid w:val="00652E8A"/>
    <w:rsid w:val="006534B6"/>
    <w:rsid w:val="006543E5"/>
    <w:rsid w:val="00661B66"/>
    <w:rsid w:val="006667BD"/>
    <w:rsid w:val="006711CE"/>
    <w:rsid w:val="00682064"/>
    <w:rsid w:val="006859E2"/>
    <w:rsid w:val="006C5478"/>
    <w:rsid w:val="006F0E76"/>
    <w:rsid w:val="006F355E"/>
    <w:rsid w:val="00706168"/>
    <w:rsid w:val="007119F7"/>
    <w:rsid w:val="00720574"/>
    <w:rsid w:val="0072439D"/>
    <w:rsid w:val="00727B49"/>
    <w:rsid w:val="00735421"/>
    <w:rsid w:val="00752E78"/>
    <w:rsid w:val="007609EF"/>
    <w:rsid w:val="0076407D"/>
    <w:rsid w:val="007746B9"/>
    <w:rsid w:val="007928EC"/>
    <w:rsid w:val="007A0083"/>
    <w:rsid w:val="007B23FD"/>
    <w:rsid w:val="007B383B"/>
    <w:rsid w:val="007B56D2"/>
    <w:rsid w:val="007B7CB2"/>
    <w:rsid w:val="007C4BD0"/>
    <w:rsid w:val="007D3785"/>
    <w:rsid w:val="007D617A"/>
    <w:rsid w:val="007D72C9"/>
    <w:rsid w:val="007E26B4"/>
    <w:rsid w:val="007E4831"/>
    <w:rsid w:val="007E6DD7"/>
    <w:rsid w:val="008038BD"/>
    <w:rsid w:val="00814DFE"/>
    <w:rsid w:val="00824328"/>
    <w:rsid w:val="00826864"/>
    <w:rsid w:val="0083139F"/>
    <w:rsid w:val="0083403F"/>
    <w:rsid w:val="008377BB"/>
    <w:rsid w:val="008444FA"/>
    <w:rsid w:val="00846D40"/>
    <w:rsid w:val="008548E1"/>
    <w:rsid w:val="00854F0E"/>
    <w:rsid w:val="00863CE6"/>
    <w:rsid w:val="00872415"/>
    <w:rsid w:val="00873626"/>
    <w:rsid w:val="008745CF"/>
    <w:rsid w:val="00875505"/>
    <w:rsid w:val="00875C45"/>
    <w:rsid w:val="0089206E"/>
    <w:rsid w:val="00895AE6"/>
    <w:rsid w:val="008961E3"/>
    <w:rsid w:val="008A39E0"/>
    <w:rsid w:val="008A7CDD"/>
    <w:rsid w:val="008A7DEC"/>
    <w:rsid w:val="008B0728"/>
    <w:rsid w:val="008B073A"/>
    <w:rsid w:val="008B10A6"/>
    <w:rsid w:val="008B5100"/>
    <w:rsid w:val="008C2130"/>
    <w:rsid w:val="008C5467"/>
    <w:rsid w:val="008D1C70"/>
    <w:rsid w:val="008E2A29"/>
    <w:rsid w:val="008E2EB0"/>
    <w:rsid w:val="008F28FC"/>
    <w:rsid w:val="008F7190"/>
    <w:rsid w:val="0090625D"/>
    <w:rsid w:val="009075D8"/>
    <w:rsid w:val="00922733"/>
    <w:rsid w:val="00926342"/>
    <w:rsid w:val="00931446"/>
    <w:rsid w:val="00936A9F"/>
    <w:rsid w:val="00953729"/>
    <w:rsid w:val="0096555E"/>
    <w:rsid w:val="0096701A"/>
    <w:rsid w:val="0097378A"/>
    <w:rsid w:val="0099478B"/>
    <w:rsid w:val="0099499A"/>
    <w:rsid w:val="009B66AA"/>
    <w:rsid w:val="009B7829"/>
    <w:rsid w:val="009C0698"/>
    <w:rsid w:val="009D0ED0"/>
    <w:rsid w:val="009D5838"/>
    <w:rsid w:val="009E1BB9"/>
    <w:rsid w:val="009E3E3D"/>
    <w:rsid w:val="009E433B"/>
    <w:rsid w:val="00A019E7"/>
    <w:rsid w:val="00A11365"/>
    <w:rsid w:val="00A12951"/>
    <w:rsid w:val="00A13140"/>
    <w:rsid w:val="00A1363E"/>
    <w:rsid w:val="00A139BE"/>
    <w:rsid w:val="00A142C4"/>
    <w:rsid w:val="00A14EA3"/>
    <w:rsid w:val="00A208BE"/>
    <w:rsid w:val="00A25732"/>
    <w:rsid w:val="00A37315"/>
    <w:rsid w:val="00A405A7"/>
    <w:rsid w:val="00A415C0"/>
    <w:rsid w:val="00A41869"/>
    <w:rsid w:val="00A43EDF"/>
    <w:rsid w:val="00A47389"/>
    <w:rsid w:val="00A47D90"/>
    <w:rsid w:val="00A5347A"/>
    <w:rsid w:val="00A84708"/>
    <w:rsid w:val="00AA4C10"/>
    <w:rsid w:val="00AB1128"/>
    <w:rsid w:val="00AB789B"/>
    <w:rsid w:val="00AC5A63"/>
    <w:rsid w:val="00AC6590"/>
    <w:rsid w:val="00AD579B"/>
    <w:rsid w:val="00AD697C"/>
    <w:rsid w:val="00AE3772"/>
    <w:rsid w:val="00AF2CCE"/>
    <w:rsid w:val="00AF6383"/>
    <w:rsid w:val="00AF75BA"/>
    <w:rsid w:val="00B028EE"/>
    <w:rsid w:val="00B1173E"/>
    <w:rsid w:val="00B205F2"/>
    <w:rsid w:val="00B24FBD"/>
    <w:rsid w:val="00B27F7A"/>
    <w:rsid w:val="00B362FB"/>
    <w:rsid w:val="00B36626"/>
    <w:rsid w:val="00B4726A"/>
    <w:rsid w:val="00B521FE"/>
    <w:rsid w:val="00B54BE0"/>
    <w:rsid w:val="00B73297"/>
    <w:rsid w:val="00B80424"/>
    <w:rsid w:val="00B8486D"/>
    <w:rsid w:val="00B90E86"/>
    <w:rsid w:val="00BA7544"/>
    <w:rsid w:val="00BB2E5A"/>
    <w:rsid w:val="00BC3C85"/>
    <w:rsid w:val="00BD3E1E"/>
    <w:rsid w:val="00BD5983"/>
    <w:rsid w:val="00BD786C"/>
    <w:rsid w:val="00BE44AF"/>
    <w:rsid w:val="00BF2138"/>
    <w:rsid w:val="00C23C90"/>
    <w:rsid w:val="00C33715"/>
    <w:rsid w:val="00C35B2F"/>
    <w:rsid w:val="00C44FCE"/>
    <w:rsid w:val="00C46D4D"/>
    <w:rsid w:val="00C534F7"/>
    <w:rsid w:val="00C54131"/>
    <w:rsid w:val="00C56D73"/>
    <w:rsid w:val="00C7226A"/>
    <w:rsid w:val="00C7351F"/>
    <w:rsid w:val="00C749BC"/>
    <w:rsid w:val="00C83F8B"/>
    <w:rsid w:val="00C90F43"/>
    <w:rsid w:val="00C96EC9"/>
    <w:rsid w:val="00C97C4F"/>
    <w:rsid w:val="00CA4EC7"/>
    <w:rsid w:val="00CB6034"/>
    <w:rsid w:val="00CC5974"/>
    <w:rsid w:val="00CD105E"/>
    <w:rsid w:val="00CD307B"/>
    <w:rsid w:val="00CD7D6B"/>
    <w:rsid w:val="00D019F3"/>
    <w:rsid w:val="00D14C62"/>
    <w:rsid w:val="00D167D8"/>
    <w:rsid w:val="00D231E4"/>
    <w:rsid w:val="00D2586A"/>
    <w:rsid w:val="00D303AB"/>
    <w:rsid w:val="00D36CD4"/>
    <w:rsid w:val="00D439BA"/>
    <w:rsid w:val="00D43AAC"/>
    <w:rsid w:val="00D4499E"/>
    <w:rsid w:val="00D463D1"/>
    <w:rsid w:val="00D63AA5"/>
    <w:rsid w:val="00D72565"/>
    <w:rsid w:val="00D72D9C"/>
    <w:rsid w:val="00D774C5"/>
    <w:rsid w:val="00D77969"/>
    <w:rsid w:val="00D87FD0"/>
    <w:rsid w:val="00D95752"/>
    <w:rsid w:val="00D95AFA"/>
    <w:rsid w:val="00DA154B"/>
    <w:rsid w:val="00DA3D63"/>
    <w:rsid w:val="00DB0FB2"/>
    <w:rsid w:val="00DD4C1D"/>
    <w:rsid w:val="00DD57CE"/>
    <w:rsid w:val="00DD682F"/>
    <w:rsid w:val="00DE73C0"/>
    <w:rsid w:val="00E04380"/>
    <w:rsid w:val="00E058FA"/>
    <w:rsid w:val="00E1404A"/>
    <w:rsid w:val="00E145F6"/>
    <w:rsid w:val="00E45005"/>
    <w:rsid w:val="00E45CC6"/>
    <w:rsid w:val="00E52A5A"/>
    <w:rsid w:val="00E707D5"/>
    <w:rsid w:val="00E70D6B"/>
    <w:rsid w:val="00E749CA"/>
    <w:rsid w:val="00E9496E"/>
    <w:rsid w:val="00E97C9C"/>
    <w:rsid w:val="00EA0B4D"/>
    <w:rsid w:val="00EA3B52"/>
    <w:rsid w:val="00EA504D"/>
    <w:rsid w:val="00EA558A"/>
    <w:rsid w:val="00EA6763"/>
    <w:rsid w:val="00EB3C45"/>
    <w:rsid w:val="00EC104A"/>
    <w:rsid w:val="00ED106F"/>
    <w:rsid w:val="00ED43DB"/>
    <w:rsid w:val="00ED5504"/>
    <w:rsid w:val="00EF2C9C"/>
    <w:rsid w:val="00F2019E"/>
    <w:rsid w:val="00F24C7C"/>
    <w:rsid w:val="00F24D0D"/>
    <w:rsid w:val="00F25B29"/>
    <w:rsid w:val="00F326F3"/>
    <w:rsid w:val="00F36D0E"/>
    <w:rsid w:val="00F47D53"/>
    <w:rsid w:val="00F522CA"/>
    <w:rsid w:val="00F5334B"/>
    <w:rsid w:val="00F60BAF"/>
    <w:rsid w:val="00F6408D"/>
    <w:rsid w:val="00F646BD"/>
    <w:rsid w:val="00F67D07"/>
    <w:rsid w:val="00F7170A"/>
    <w:rsid w:val="00F76A60"/>
    <w:rsid w:val="00F773D5"/>
    <w:rsid w:val="00F9422A"/>
    <w:rsid w:val="00FD5B7E"/>
    <w:rsid w:val="00FE3CB1"/>
    <w:rsid w:val="00FE4D0A"/>
    <w:rsid w:val="00FF09BB"/>
    <w:rsid w:val="00FF5D30"/>
    <w:rsid w:val="00FF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B9AB80"/>
  <w15:docId w15:val="{B0F6DAFF-874F-417B-9942-7F8E11D4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609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5421"/>
    <w:pPr>
      <w:keepNext/>
      <w:keepLines/>
      <w:spacing w:before="40" w:after="0" w:line="240" w:lineRule="auto"/>
      <w:outlineLvl w:val="1"/>
    </w:pPr>
    <w:rPr>
      <w:rFonts w:asciiTheme="majorHAnsi" w:eastAsiaTheme="majorEastAsia" w:hAnsiTheme="majorHAnsi" w:cstheme="majorBidi"/>
      <w:color w:val="2E74B5" w:themeColor="accent1" w:themeShade="BF"/>
      <w:kern w:val="2"/>
      <w:sz w:val="26"/>
      <w:szCs w:val="26"/>
      <w14:ligatures w14:val="standardContextual"/>
    </w:rPr>
  </w:style>
  <w:style w:type="paragraph" w:styleId="Heading3">
    <w:name w:val="heading 3"/>
    <w:basedOn w:val="Normal"/>
    <w:next w:val="Normal"/>
    <w:link w:val="Heading3Char"/>
    <w:uiPriority w:val="9"/>
    <w:semiHidden/>
    <w:unhideWhenUsed/>
    <w:qFormat/>
    <w:rsid w:val="007609E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9B66AA"/>
    <w:pPr>
      <w:keepNext/>
      <w:keepLines/>
      <w:spacing w:before="40" w:after="0" w:line="240" w:lineRule="auto"/>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B66AA"/>
    <w:pPr>
      <w:keepNext/>
      <w:keepLines/>
      <w:spacing w:before="40" w:after="0" w:line="240" w:lineRule="auto"/>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609EF"/>
    <w:pPr>
      <w:keepNext/>
      <w:keepLines/>
      <w:spacing w:before="40" w:after="0" w:line="240" w:lineRule="auto"/>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609EF"/>
    <w:pPr>
      <w:keepNext/>
      <w:keepLines/>
      <w:spacing w:before="40" w:after="0" w:line="240" w:lineRule="auto"/>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609EF"/>
    <w:pPr>
      <w:keepNext/>
      <w:keepLines/>
      <w:spacing w:before="40" w:after="0" w:line="240" w:lineRule="auto"/>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609EF"/>
    <w:pPr>
      <w:keepNext/>
      <w:keepLines/>
      <w:spacing w:before="40" w:after="0" w:line="240" w:lineRule="auto"/>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55E"/>
  </w:style>
  <w:style w:type="paragraph" w:styleId="Footer">
    <w:name w:val="footer"/>
    <w:basedOn w:val="Normal"/>
    <w:link w:val="FooterChar"/>
    <w:uiPriority w:val="99"/>
    <w:unhideWhenUsed/>
    <w:rsid w:val="0096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55E"/>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96555E"/>
    <w:pPr>
      <w:ind w:left="720"/>
      <w:contextualSpacing/>
    </w:pPr>
  </w:style>
  <w:style w:type="table" w:styleId="TableGrid">
    <w:name w:val="Table Grid"/>
    <w:basedOn w:val="TableNormal"/>
    <w:uiPriority w:val="59"/>
    <w:rsid w:val="008C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A504D"/>
    <w:pPr>
      <w:autoSpaceDE w:val="0"/>
      <w:autoSpaceDN w:val="0"/>
      <w:spacing w:after="0" w:line="240" w:lineRule="auto"/>
    </w:pPr>
    <w:rPr>
      <w:rFonts w:ascii="Arial" w:hAnsi="Arial" w:cs="Arial"/>
      <w:color w:val="000000"/>
      <w:sz w:val="24"/>
      <w:szCs w:val="24"/>
      <w:lang w:eastAsia="en-GB"/>
    </w:rPr>
  </w:style>
  <w:style w:type="character" w:styleId="Hyperlink">
    <w:name w:val="Hyperlink"/>
    <w:basedOn w:val="DefaultParagraphFont"/>
    <w:uiPriority w:val="99"/>
    <w:unhideWhenUsed/>
    <w:rsid w:val="004D4D41"/>
    <w:rPr>
      <w:color w:val="0563C1" w:themeColor="hyperlink"/>
      <w:u w:val="single"/>
    </w:rPr>
  </w:style>
  <w:style w:type="character" w:customStyle="1" w:styleId="Heading4Char">
    <w:name w:val="Heading 4 Char"/>
    <w:basedOn w:val="DefaultParagraphFont"/>
    <w:link w:val="Heading4"/>
    <w:uiPriority w:val="9"/>
    <w:rsid w:val="009B66A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B66AA"/>
    <w:rPr>
      <w:rFonts w:asciiTheme="majorHAnsi" w:eastAsiaTheme="majorEastAsia" w:hAnsiTheme="majorHAnsi" w:cstheme="majorBidi"/>
      <w:caps/>
      <w:color w:val="2E74B5" w:themeColor="accent1" w:themeShade="BF"/>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9B66AA"/>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1D2AE4"/>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1D2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AE4"/>
    <w:rPr>
      <w:rFonts w:ascii="Segoe UI" w:hAnsi="Segoe UI" w:cs="Segoe UI"/>
      <w:sz w:val="18"/>
      <w:szCs w:val="18"/>
    </w:rPr>
  </w:style>
  <w:style w:type="character" w:customStyle="1" w:styleId="xcontentpasted1">
    <w:name w:val="x_contentpasted1"/>
    <w:basedOn w:val="DefaultParagraphFont"/>
    <w:rsid w:val="00322A52"/>
  </w:style>
  <w:style w:type="character" w:customStyle="1" w:styleId="xcontentpasted6">
    <w:name w:val="x_contentpasted6"/>
    <w:basedOn w:val="DefaultParagraphFont"/>
    <w:rsid w:val="00322A52"/>
  </w:style>
  <w:style w:type="character" w:customStyle="1" w:styleId="xcontentpasted0">
    <w:name w:val="x_contentpasted0"/>
    <w:basedOn w:val="DefaultParagraphFont"/>
    <w:rsid w:val="00322A52"/>
  </w:style>
  <w:style w:type="paragraph" w:styleId="NormalWeb">
    <w:name w:val="Normal (Web)"/>
    <w:basedOn w:val="Normal"/>
    <w:uiPriority w:val="99"/>
    <w:unhideWhenUsed/>
    <w:rsid w:val="00F6408D"/>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rsid w:val="00735421"/>
    <w:rPr>
      <w:rFonts w:asciiTheme="majorHAnsi" w:eastAsiaTheme="majorEastAsia" w:hAnsiTheme="majorHAnsi" w:cstheme="majorBidi"/>
      <w:color w:val="2E74B5" w:themeColor="accent1" w:themeShade="BF"/>
      <w:kern w:val="2"/>
      <w:sz w:val="26"/>
      <w:szCs w:val="26"/>
      <w14:ligatures w14:val="standardContextual"/>
    </w:rPr>
  </w:style>
  <w:style w:type="paragraph" w:customStyle="1" w:styleId="xxxmsonormal">
    <w:name w:val="x_xxmsonormal"/>
    <w:basedOn w:val="Normal"/>
    <w:rsid w:val="00D95752"/>
    <w:pPr>
      <w:spacing w:after="0" w:line="240" w:lineRule="auto"/>
    </w:pPr>
    <w:rPr>
      <w:rFonts w:ascii="Calibri" w:hAnsi="Calibri" w:cs="Calibri"/>
      <w:lang w:eastAsia="en-GB"/>
    </w:rPr>
  </w:style>
  <w:style w:type="character" w:styleId="SubtleEmphasis">
    <w:name w:val="Subtle Emphasis"/>
    <w:basedOn w:val="DefaultParagraphFont"/>
    <w:uiPriority w:val="19"/>
    <w:qFormat/>
    <w:rsid w:val="00A12951"/>
    <w:rPr>
      <w:i/>
      <w:iCs/>
      <w:color w:val="404040" w:themeColor="text1" w:themeTint="BF"/>
    </w:rPr>
  </w:style>
  <w:style w:type="character" w:customStyle="1" w:styleId="Heading1Char">
    <w:name w:val="Heading 1 Char"/>
    <w:basedOn w:val="DefaultParagraphFont"/>
    <w:link w:val="Heading1"/>
    <w:rsid w:val="007609E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609EF"/>
    <w:rPr>
      <w:rFonts w:asciiTheme="majorHAnsi" w:eastAsiaTheme="majorEastAsia" w:hAnsiTheme="majorHAnsi" w:cstheme="majorBidi"/>
      <w:color w:val="2E74B5" w:themeColor="accent1" w:themeShade="BF"/>
      <w:sz w:val="28"/>
      <w:szCs w:val="28"/>
    </w:rPr>
  </w:style>
  <w:style w:type="character" w:customStyle="1" w:styleId="Heading6Char">
    <w:name w:val="Heading 6 Char"/>
    <w:basedOn w:val="DefaultParagraphFont"/>
    <w:link w:val="Heading6"/>
    <w:uiPriority w:val="9"/>
    <w:semiHidden/>
    <w:rsid w:val="007609E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609E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609E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609E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609EF"/>
    <w:pPr>
      <w:spacing w:after="0" w:line="240" w:lineRule="auto"/>
    </w:pPr>
    <w:rPr>
      <w:rFonts w:ascii="Arial" w:eastAsia="Calibri" w:hAnsi="Arial" w:cs="Times New Roman"/>
      <w:b/>
      <w:bCs/>
      <w:smallCaps/>
      <w:color w:val="44546A" w:themeColor="text2"/>
    </w:rPr>
  </w:style>
  <w:style w:type="paragraph" w:styleId="Title">
    <w:name w:val="Title"/>
    <w:basedOn w:val="Normal"/>
    <w:next w:val="Normal"/>
    <w:link w:val="TitleChar"/>
    <w:uiPriority w:val="10"/>
    <w:qFormat/>
    <w:rsid w:val="007609E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609E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609E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609E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609EF"/>
    <w:rPr>
      <w:b/>
      <w:bCs/>
    </w:rPr>
  </w:style>
  <w:style w:type="character" w:styleId="Emphasis">
    <w:name w:val="Emphasis"/>
    <w:basedOn w:val="DefaultParagraphFont"/>
    <w:uiPriority w:val="20"/>
    <w:qFormat/>
    <w:rsid w:val="007609EF"/>
    <w:rPr>
      <w:i/>
      <w:iCs/>
    </w:rPr>
  </w:style>
  <w:style w:type="paragraph" w:styleId="NoSpacing">
    <w:name w:val="No Spacing"/>
    <w:uiPriority w:val="1"/>
    <w:qFormat/>
    <w:rsid w:val="007609EF"/>
    <w:pPr>
      <w:spacing w:after="0" w:line="240" w:lineRule="auto"/>
    </w:pPr>
    <w:rPr>
      <w:rFonts w:eastAsiaTheme="minorEastAsia"/>
    </w:rPr>
  </w:style>
  <w:style w:type="paragraph" w:styleId="Quote">
    <w:name w:val="Quote"/>
    <w:basedOn w:val="Normal"/>
    <w:next w:val="Normal"/>
    <w:link w:val="QuoteChar"/>
    <w:uiPriority w:val="29"/>
    <w:qFormat/>
    <w:rsid w:val="007609EF"/>
    <w:pPr>
      <w:spacing w:before="120" w:after="120" w:line="240" w:lineRule="auto"/>
      <w:ind w:left="720"/>
    </w:pPr>
    <w:rPr>
      <w:rFonts w:ascii="Arial" w:eastAsia="Calibri" w:hAnsi="Arial" w:cs="Times New Roman"/>
      <w:color w:val="44546A" w:themeColor="text2"/>
      <w:sz w:val="24"/>
      <w:szCs w:val="24"/>
    </w:rPr>
  </w:style>
  <w:style w:type="character" w:customStyle="1" w:styleId="QuoteChar">
    <w:name w:val="Quote Char"/>
    <w:basedOn w:val="DefaultParagraphFont"/>
    <w:link w:val="Quote"/>
    <w:uiPriority w:val="29"/>
    <w:rsid w:val="007609EF"/>
    <w:rPr>
      <w:rFonts w:ascii="Arial" w:eastAsia="Calibri" w:hAnsi="Arial" w:cs="Times New Roman"/>
      <w:color w:val="44546A" w:themeColor="text2"/>
      <w:sz w:val="24"/>
      <w:szCs w:val="24"/>
    </w:rPr>
  </w:style>
  <w:style w:type="paragraph" w:styleId="IntenseQuote">
    <w:name w:val="Intense Quote"/>
    <w:basedOn w:val="Normal"/>
    <w:next w:val="Normal"/>
    <w:link w:val="IntenseQuoteChar"/>
    <w:uiPriority w:val="30"/>
    <w:qFormat/>
    <w:rsid w:val="007609E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609EF"/>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7609EF"/>
    <w:rPr>
      <w:b/>
      <w:bCs/>
      <w:i/>
      <w:iCs/>
    </w:rPr>
  </w:style>
  <w:style w:type="character" w:styleId="SubtleReference">
    <w:name w:val="Subtle Reference"/>
    <w:basedOn w:val="DefaultParagraphFont"/>
    <w:uiPriority w:val="31"/>
    <w:qFormat/>
    <w:rsid w:val="007609E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609EF"/>
    <w:rPr>
      <w:b/>
      <w:bCs/>
      <w:smallCaps/>
      <w:color w:val="44546A" w:themeColor="text2"/>
      <w:u w:val="single"/>
    </w:rPr>
  </w:style>
  <w:style w:type="character" w:styleId="BookTitle">
    <w:name w:val="Book Title"/>
    <w:basedOn w:val="DefaultParagraphFont"/>
    <w:uiPriority w:val="33"/>
    <w:qFormat/>
    <w:rsid w:val="007609EF"/>
    <w:rPr>
      <w:b/>
      <w:bCs/>
      <w:smallCaps/>
      <w:spacing w:val="10"/>
    </w:rPr>
  </w:style>
  <w:style w:type="paragraph" w:styleId="TOCHeading">
    <w:name w:val="TOC Heading"/>
    <w:basedOn w:val="Heading1"/>
    <w:next w:val="Normal"/>
    <w:uiPriority w:val="39"/>
    <w:unhideWhenUsed/>
    <w:qFormat/>
    <w:rsid w:val="007609EF"/>
    <w:pPr>
      <w:spacing w:before="400" w:after="40" w:line="240" w:lineRule="auto"/>
      <w:outlineLvl w:val="9"/>
    </w:pPr>
    <w:rPr>
      <w:color w:val="1F4E79" w:themeColor="accent1" w:themeShade="80"/>
      <w:sz w:val="36"/>
      <w:szCs w:val="36"/>
    </w:rPr>
  </w:style>
  <w:style w:type="character" w:customStyle="1" w:styleId="Hyperlink1">
    <w:name w:val="Hyperlink1"/>
    <w:basedOn w:val="DefaultParagraphFont"/>
    <w:uiPriority w:val="99"/>
    <w:unhideWhenUsed/>
    <w:rsid w:val="007609EF"/>
    <w:rPr>
      <w:color w:val="0000FF"/>
      <w:u w:val="single"/>
    </w:rPr>
  </w:style>
  <w:style w:type="paragraph" w:styleId="TOC1">
    <w:name w:val="toc 1"/>
    <w:basedOn w:val="Normal"/>
    <w:next w:val="Normal"/>
    <w:autoRedefine/>
    <w:uiPriority w:val="39"/>
    <w:unhideWhenUsed/>
    <w:rsid w:val="007609EF"/>
    <w:pPr>
      <w:tabs>
        <w:tab w:val="right" w:pos="9016"/>
      </w:tabs>
      <w:spacing w:before="360" w:after="360" w:line="240" w:lineRule="auto"/>
    </w:pPr>
    <w:rPr>
      <w:rFonts w:eastAsia="Calibri" w:cs="Times New Roman"/>
      <w:bCs/>
      <w:caps/>
      <w:noProof/>
      <w:color w:val="1F4E79" w:themeColor="accent1" w:themeShade="80"/>
      <w:u w:val="single"/>
    </w:rPr>
  </w:style>
  <w:style w:type="paragraph" w:styleId="TOC2">
    <w:name w:val="toc 2"/>
    <w:basedOn w:val="Normal"/>
    <w:next w:val="Normal"/>
    <w:autoRedefine/>
    <w:uiPriority w:val="39"/>
    <w:unhideWhenUsed/>
    <w:rsid w:val="007609EF"/>
    <w:pPr>
      <w:spacing w:after="0" w:line="240" w:lineRule="auto"/>
    </w:pPr>
    <w:rPr>
      <w:rFonts w:eastAsia="Calibri" w:cs="Times New Roman"/>
      <w:b/>
      <w:bCs/>
      <w:smallCaps/>
    </w:rPr>
  </w:style>
  <w:style w:type="paragraph" w:styleId="TOC3">
    <w:name w:val="toc 3"/>
    <w:basedOn w:val="Normal"/>
    <w:next w:val="Normal"/>
    <w:autoRedefine/>
    <w:uiPriority w:val="39"/>
    <w:unhideWhenUsed/>
    <w:rsid w:val="007609EF"/>
    <w:pPr>
      <w:spacing w:after="0" w:line="240" w:lineRule="auto"/>
    </w:pPr>
    <w:rPr>
      <w:rFonts w:eastAsia="Calibri" w:cs="Times New Roman"/>
      <w:smallCaps/>
    </w:rPr>
  </w:style>
  <w:style w:type="character" w:customStyle="1" w:styleId="tgc">
    <w:name w:val="_tgc"/>
    <w:rsid w:val="007609EF"/>
  </w:style>
  <w:style w:type="table" w:customStyle="1" w:styleId="TableGrid1">
    <w:name w:val="Table Grid1"/>
    <w:basedOn w:val="TableNormal"/>
    <w:next w:val="TableGrid"/>
    <w:uiPriority w:val="39"/>
    <w:rsid w:val="00760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609EF"/>
    <w:rPr>
      <w:b/>
      <w:bCs/>
    </w:rPr>
  </w:style>
  <w:style w:type="character" w:customStyle="1" w:styleId="CommentSubjectChar">
    <w:name w:val="Comment Subject Char"/>
    <w:basedOn w:val="CommentTextChar"/>
    <w:link w:val="CommentSubject"/>
    <w:uiPriority w:val="99"/>
    <w:semiHidden/>
    <w:rsid w:val="007609EF"/>
    <w:rPr>
      <w:rFonts w:ascii="Arial" w:eastAsia="Calibri" w:hAnsi="Arial" w:cs="Times New Roman"/>
      <w:b/>
      <w:bCs/>
      <w:sz w:val="20"/>
      <w:szCs w:val="20"/>
    </w:rPr>
  </w:style>
  <w:style w:type="paragraph" w:customStyle="1" w:styleId="Standard">
    <w:name w:val="Standard"/>
    <w:rsid w:val="007609EF"/>
    <w:pPr>
      <w:suppressAutoHyphens/>
      <w:autoSpaceDN w:val="0"/>
      <w:spacing w:after="200" w:line="276" w:lineRule="auto"/>
      <w:textAlignment w:val="baseline"/>
    </w:pPr>
    <w:rPr>
      <w:rFonts w:ascii="Calibri" w:eastAsia="Calibri" w:hAnsi="Calibri" w:cs="Times New Roman"/>
      <w:kern w:val="3"/>
      <w:lang w:eastAsia="zh-CN"/>
    </w:rPr>
  </w:style>
  <w:style w:type="paragraph" w:customStyle="1" w:styleId="xxxmsonormal0">
    <w:name w:val="x_x_x_msonormal"/>
    <w:basedOn w:val="Normal"/>
    <w:rsid w:val="007609EF"/>
    <w:pPr>
      <w:spacing w:after="0" w:line="240" w:lineRule="auto"/>
    </w:pPr>
    <w:rPr>
      <w:rFonts w:ascii="Times New Roman" w:hAnsi="Times New Roman" w:cs="Times New Roman"/>
      <w:sz w:val="24"/>
      <w:szCs w:val="24"/>
      <w:lang w:eastAsia="en-GB"/>
    </w:rPr>
  </w:style>
  <w:style w:type="paragraph" w:customStyle="1" w:styleId="Appendix">
    <w:name w:val="Appendix"/>
    <w:basedOn w:val="Normal"/>
    <w:qFormat/>
    <w:rsid w:val="007609EF"/>
    <w:pPr>
      <w:numPr>
        <w:numId w:val="1"/>
      </w:numPr>
      <w:spacing w:after="0" w:line="240" w:lineRule="auto"/>
      <w:ind w:left="714" w:hanging="357"/>
      <w:outlineLvl w:val="0"/>
    </w:pPr>
    <w:rPr>
      <w:rFonts w:asciiTheme="majorHAnsi" w:eastAsia="Calibri" w:hAnsiTheme="majorHAnsi" w:cstheme="majorHAnsi"/>
      <w:sz w:val="36"/>
      <w:szCs w:val="36"/>
    </w:rPr>
  </w:style>
  <w:style w:type="paragraph" w:styleId="TOC4">
    <w:name w:val="toc 4"/>
    <w:basedOn w:val="Normal"/>
    <w:next w:val="Normal"/>
    <w:autoRedefine/>
    <w:uiPriority w:val="39"/>
    <w:unhideWhenUsed/>
    <w:rsid w:val="007609EF"/>
    <w:pPr>
      <w:spacing w:after="0" w:line="240" w:lineRule="auto"/>
    </w:pPr>
    <w:rPr>
      <w:rFonts w:eastAsia="Calibri" w:cs="Times New Roman"/>
    </w:rPr>
  </w:style>
  <w:style w:type="paragraph" w:styleId="TOC5">
    <w:name w:val="toc 5"/>
    <w:basedOn w:val="Normal"/>
    <w:next w:val="Normal"/>
    <w:autoRedefine/>
    <w:uiPriority w:val="39"/>
    <w:unhideWhenUsed/>
    <w:rsid w:val="007609EF"/>
    <w:pPr>
      <w:spacing w:after="0" w:line="240" w:lineRule="auto"/>
    </w:pPr>
    <w:rPr>
      <w:rFonts w:eastAsia="Calibri" w:cs="Times New Roman"/>
    </w:rPr>
  </w:style>
  <w:style w:type="paragraph" w:styleId="TOC6">
    <w:name w:val="toc 6"/>
    <w:basedOn w:val="Normal"/>
    <w:next w:val="Normal"/>
    <w:autoRedefine/>
    <w:uiPriority w:val="39"/>
    <w:unhideWhenUsed/>
    <w:rsid w:val="007609EF"/>
    <w:pPr>
      <w:spacing w:after="0" w:line="240" w:lineRule="auto"/>
    </w:pPr>
    <w:rPr>
      <w:rFonts w:eastAsia="Calibri" w:cs="Times New Roman"/>
    </w:rPr>
  </w:style>
  <w:style w:type="paragraph" w:styleId="TOC7">
    <w:name w:val="toc 7"/>
    <w:basedOn w:val="Normal"/>
    <w:next w:val="Normal"/>
    <w:autoRedefine/>
    <w:uiPriority w:val="39"/>
    <w:unhideWhenUsed/>
    <w:rsid w:val="007609EF"/>
    <w:pPr>
      <w:spacing w:after="0" w:line="240" w:lineRule="auto"/>
    </w:pPr>
    <w:rPr>
      <w:rFonts w:eastAsia="Calibri" w:cs="Times New Roman"/>
    </w:rPr>
  </w:style>
  <w:style w:type="paragraph" w:styleId="TOC8">
    <w:name w:val="toc 8"/>
    <w:basedOn w:val="Normal"/>
    <w:next w:val="Normal"/>
    <w:autoRedefine/>
    <w:uiPriority w:val="39"/>
    <w:unhideWhenUsed/>
    <w:rsid w:val="007609EF"/>
    <w:pPr>
      <w:spacing w:after="0" w:line="240" w:lineRule="auto"/>
    </w:pPr>
    <w:rPr>
      <w:rFonts w:eastAsia="Calibri" w:cs="Times New Roman"/>
    </w:rPr>
  </w:style>
  <w:style w:type="paragraph" w:styleId="TOC9">
    <w:name w:val="toc 9"/>
    <w:basedOn w:val="Normal"/>
    <w:next w:val="Normal"/>
    <w:autoRedefine/>
    <w:uiPriority w:val="39"/>
    <w:unhideWhenUsed/>
    <w:rsid w:val="007609EF"/>
    <w:pPr>
      <w:spacing w:after="0" w:line="240" w:lineRule="auto"/>
    </w:pPr>
    <w:rPr>
      <w:rFonts w:eastAsia="Calibri" w:cs="Times New Roman"/>
    </w:rPr>
  </w:style>
  <w:style w:type="paragraph" w:customStyle="1" w:styleId="xmsonormal">
    <w:name w:val="x_msonormal"/>
    <w:basedOn w:val="Normal"/>
    <w:rsid w:val="007609EF"/>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609EF"/>
    <w:rPr>
      <w:color w:val="954F72" w:themeColor="followedHyperlink"/>
      <w:u w:val="single"/>
    </w:rPr>
  </w:style>
  <w:style w:type="table" w:customStyle="1" w:styleId="GridTable2-Accent51">
    <w:name w:val="Grid Table 2 - Accent 51"/>
    <w:basedOn w:val="TableNormal"/>
    <w:uiPriority w:val="47"/>
    <w:rsid w:val="003B73B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2">
    <w:name w:val="Table Grid2"/>
    <w:basedOn w:val="TableNormal"/>
    <w:next w:val="TableGrid"/>
    <w:uiPriority w:val="39"/>
    <w:rsid w:val="002D4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7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7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 title"/>
    <w:rsid w:val="00321078"/>
    <w:rPr>
      <w:rFonts w:ascii="Arial" w:hAnsi="Arial"/>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507">
      <w:bodyDiv w:val="1"/>
      <w:marLeft w:val="0"/>
      <w:marRight w:val="0"/>
      <w:marTop w:val="0"/>
      <w:marBottom w:val="0"/>
      <w:divBdr>
        <w:top w:val="none" w:sz="0" w:space="0" w:color="auto"/>
        <w:left w:val="none" w:sz="0" w:space="0" w:color="auto"/>
        <w:bottom w:val="none" w:sz="0" w:space="0" w:color="auto"/>
        <w:right w:val="none" w:sz="0" w:space="0" w:color="auto"/>
      </w:divBdr>
    </w:div>
    <w:div w:id="69469139">
      <w:bodyDiv w:val="1"/>
      <w:marLeft w:val="0"/>
      <w:marRight w:val="0"/>
      <w:marTop w:val="0"/>
      <w:marBottom w:val="0"/>
      <w:divBdr>
        <w:top w:val="none" w:sz="0" w:space="0" w:color="auto"/>
        <w:left w:val="none" w:sz="0" w:space="0" w:color="auto"/>
        <w:bottom w:val="none" w:sz="0" w:space="0" w:color="auto"/>
        <w:right w:val="none" w:sz="0" w:space="0" w:color="auto"/>
      </w:divBdr>
      <w:divsChild>
        <w:div w:id="216090749">
          <w:marLeft w:val="547"/>
          <w:marRight w:val="0"/>
          <w:marTop w:val="0"/>
          <w:marBottom w:val="0"/>
          <w:divBdr>
            <w:top w:val="none" w:sz="0" w:space="0" w:color="auto"/>
            <w:left w:val="none" w:sz="0" w:space="0" w:color="auto"/>
            <w:bottom w:val="none" w:sz="0" w:space="0" w:color="auto"/>
            <w:right w:val="none" w:sz="0" w:space="0" w:color="auto"/>
          </w:divBdr>
        </w:div>
      </w:divsChild>
    </w:div>
    <w:div w:id="245311928">
      <w:bodyDiv w:val="1"/>
      <w:marLeft w:val="0"/>
      <w:marRight w:val="0"/>
      <w:marTop w:val="0"/>
      <w:marBottom w:val="0"/>
      <w:divBdr>
        <w:top w:val="none" w:sz="0" w:space="0" w:color="auto"/>
        <w:left w:val="none" w:sz="0" w:space="0" w:color="auto"/>
        <w:bottom w:val="none" w:sz="0" w:space="0" w:color="auto"/>
        <w:right w:val="none" w:sz="0" w:space="0" w:color="auto"/>
      </w:divBdr>
    </w:div>
    <w:div w:id="369720740">
      <w:bodyDiv w:val="1"/>
      <w:marLeft w:val="0"/>
      <w:marRight w:val="0"/>
      <w:marTop w:val="0"/>
      <w:marBottom w:val="0"/>
      <w:divBdr>
        <w:top w:val="none" w:sz="0" w:space="0" w:color="auto"/>
        <w:left w:val="none" w:sz="0" w:space="0" w:color="auto"/>
        <w:bottom w:val="none" w:sz="0" w:space="0" w:color="auto"/>
        <w:right w:val="none" w:sz="0" w:space="0" w:color="auto"/>
      </w:divBdr>
    </w:div>
    <w:div w:id="4516325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609">
          <w:marLeft w:val="274"/>
          <w:marRight w:val="0"/>
          <w:marTop w:val="0"/>
          <w:marBottom w:val="0"/>
          <w:divBdr>
            <w:top w:val="none" w:sz="0" w:space="0" w:color="auto"/>
            <w:left w:val="none" w:sz="0" w:space="0" w:color="auto"/>
            <w:bottom w:val="none" w:sz="0" w:space="0" w:color="auto"/>
            <w:right w:val="none" w:sz="0" w:space="0" w:color="auto"/>
          </w:divBdr>
        </w:div>
        <w:div w:id="440927054">
          <w:marLeft w:val="274"/>
          <w:marRight w:val="0"/>
          <w:marTop w:val="0"/>
          <w:marBottom w:val="0"/>
          <w:divBdr>
            <w:top w:val="none" w:sz="0" w:space="0" w:color="auto"/>
            <w:left w:val="none" w:sz="0" w:space="0" w:color="auto"/>
            <w:bottom w:val="none" w:sz="0" w:space="0" w:color="auto"/>
            <w:right w:val="none" w:sz="0" w:space="0" w:color="auto"/>
          </w:divBdr>
        </w:div>
        <w:div w:id="588544422">
          <w:marLeft w:val="274"/>
          <w:marRight w:val="0"/>
          <w:marTop w:val="0"/>
          <w:marBottom w:val="0"/>
          <w:divBdr>
            <w:top w:val="none" w:sz="0" w:space="0" w:color="auto"/>
            <w:left w:val="none" w:sz="0" w:space="0" w:color="auto"/>
            <w:bottom w:val="none" w:sz="0" w:space="0" w:color="auto"/>
            <w:right w:val="none" w:sz="0" w:space="0" w:color="auto"/>
          </w:divBdr>
        </w:div>
        <w:div w:id="512381660">
          <w:marLeft w:val="274"/>
          <w:marRight w:val="0"/>
          <w:marTop w:val="0"/>
          <w:marBottom w:val="0"/>
          <w:divBdr>
            <w:top w:val="none" w:sz="0" w:space="0" w:color="auto"/>
            <w:left w:val="none" w:sz="0" w:space="0" w:color="auto"/>
            <w:bottom w:val="none" w:sz="0" w:space="0" w:color="auto"/>
            <w:right w:val="none" w:sz="0" w:space="0" w:color="auto"/>
          </w:divBdr>
        </w:div>
        <w:div w:id="2049796287">
          <w:marLeft w:val="274"/>
          <w:marRight w:val="0"/>
          <w:marTop w:val="0"/>
          <w:marBottom w:val="0"/>
          <w:divBdr>
            <w:top w:val="none" w:sz="0" w:space="0" w:color="auto"/>
            <w:left w:val="none" w:sz="0" w:space="0" w:color="auto"/>
            <w:bottom w:val="none" w:sz="0" w:space="0" w:color="auto"/>
            <w:right w:val="none" w:sz="0" w:space="0" w:color="auto"/>
          </w:divBdr>
        </w:div>
        <w:div w:id="468280355">
          <w:marLeft w:val="274"/>
          <w:marRight w:val="0"/>
          <w:marTop w:val="0"/>
          <w:marBottom w:val="0"/>
          <w:divBdr>
            <w:top w:val="none" w:sz="0" w:space="0" w:color="auto"/>
            <w:left w:val="none" w:sz="0" w:space="0" w:color="auto"/>
            <w:bottom w:val="none" w:sz="0" w:space="0" w:color="auto"/>
            <w:right w:val="none" w:sz="0" w:space="0" w:color="auto"/>
          </w:divBdr>
        </w:div>
        <w:div w:id="1016349857">
          <w:marLeft w:val="274"/>
          <w:marRight w:val="0"/>
          <w:marTop w:val="0"/>
          <w:marBottom w:val="0"/>
          <w:divBdr>
            <w:top w:val="none" w:sz="0" w:space="0" w:color="auto"/>
            <w:left w:val="none" w:sz="0" w:space="0" w:color="auto"/>
            <w:bottom w:val="none" w:sz="0" w:space="0" w:color="auto"/>
            <w:right w:val="none" w:sz="0" w:space="0" w:color="auto"/>
          </w:divBdr>
        </w:div>
        <w:div w:id="1354573494">
          <w:marLeft w:val="274"/>
          <w:marRight w:val="0"/>
          <w:marTop w:val="0"/>
          <w:marBottom w:val="0"/>
          <w:divBdr>
            <w:top w:val="none" w:sz="0" w:space="0" w:color="auto"/>
            <w:left w:val="none" w:sz="0" w:space="0" w:color="auto"/>
            <w:bottom w:val="none" w:sz="0" w:space="0" w:color="auto"/>
            <w:right w:val="none" w:sz="0" w:space="0" w:color="auto"/>
          </w:divBdr>
        </w:div>
        <w:div w:id="1276208779">
          <w:marLeft w:val="274"/>
          <w:marRight w:val="0"/>
          <w:marTop w:val="0"/>
          <w:marBottom w:val="0"/>
          <w:divBdr>
            <w:top w:val="none" w:sz="0" w:space="0" w:color="auto"/>
            <w:left w:val="none" w:sz="0" w:space="0" w:color="auto"/>
            <w:bottom w:val="none" w:sz="0" w:space="0" w:color="auto"/>
            <w:right w:val="none" w:sz="0" w:space="0" w:color="auto"/>
          </w:divBdr>
        </w:div>
        <w:div w:id="2040547438">
          <w:marLeft w:val="446"/>
          <w:marRight w:val="0"/>
          <w:marTop w:val="0"/>
          <w:marBottom w:val="0"/>
          <w:divBdr>
            <w:top w:val="none" w:sz="0" w:space="0" w:color="auto"/>
            <w:left w:val="none" w:sz="0" w:space="0" w:color="auto"/>
            <w:bottom w:val="none" w:sz="0" w:space="0" w:color="auto"/>
            <w:right w:val="none" w:sz="0" w:space="0" w:color="auto"/>
          </w:divBdr>
        </w:div>
        <w:div w:id="1472140185">
          <w:marLeft w:val="446"/>
          <w:marRight w:val="0"/>
          <w:marTop w:val="0"/>
          <w:marBottom w:val="0"/>
          <w:divBdr>
            <w:top w:val="none" w:sz="0" w:space="0" w:color="auto"/>
            <w:left w:val="none" w:sz="0" w:space="0" w:color="auto"/>
            <w:bottom w:val="none" w:sz="0" w:space="0" w:color="auto"/>
            <w:right w:val="none" w:sz="0" w:space="0" w:color="auto"/>
          </w:divBdr>
        </w:div>
        <w:div w:id="1507359707">
          <w:marLeft w:val="446"/>
          <w:marRight w:val="0"/>
          <w:marTop w:val="0"/>
          <w:marBottom w:val="0"/>
          <w:divBdr>
            <w:top w:val="none" w:sz="0" w:space="0" w:color="auto"/>
            <w:left w:val="none" w:sz="0" w:space="0" w:color="auto"/>
            <w:bottom w:val="none" w:sz="0" w:space="0" w:color="auto"/>
            <w:right w:val="none" w:sz="0" w:space="0" w:color="auto"/>
          </w:divBdr>
        </w:div>
        <w:div w:id="154343069">
          <w:marLeft w:val="446"/>
          <w:marRight w:val="0"/>
          <w:marTop w:val="0"/>
          <w:marBottom w:val="0"/>
          <w:divBdr>
            <w:top w:val="none" w:sz="0" w:space="0" w:color="auto"/>
            <w:left w:val="none" w:sz="0" w:space="0" w:color="auto"/>
            <w:bottom w:val="none" w:sz="0" w:space="0" w:color="auto"/>
            <w:right w:val="none" w:sz="0" w:space="0" w:color="auto"/>
          </w:divBdr>
        </w:div>
        <w:div w:id="1520118603">
          <w:marLeft w:val="446"/>
          <w:marRight w:val="0"/>
          <w:marTop w:val="0"/>
          <w:marBottom w:val="0"/>
          <w:divBdr>
            <w:top w:val="none" w:sz="0" w:space="0" w:color="auto"/>
            <w:left w:val="none" w:sz="0" w:space="0" w:color="auto"/>
            <w:bottom w:val="none" w:sz="0" w:space="0" w:color="auto"/>
            <w:right w:val="none" w:sz="0" w:space="0" w:color="auto"/>
          </w:divBdr>
        </w:div>
        <w:div w:id="1143813690">
          <w:marLeft w:val="446"/>
          <w:marRight w:val="0"/>
          <w:marTop w:val="0"/>
          <w:marBottom w:val="0"/>
          <w:divBdr>
            <w:top w:val="none" w:sz="0" w:space="0" w:color="auto"/>
            <w:left w:val="none" w:sz="0" w:space="0" w:color="auto"/>
            <w:bottom w:val="none" w:sz="0" w:space="0" w:color="auto"/>
            <w:right w:val="none" w:sz="0" w:space="0" w:color="auto"/>
          </w:divBdr>
        </w:div>
        <w:div w:id="1609968854">
          <w:marLeft w:val="446"/>
          <w:marRight w:val="0"/>
          <w:marTop w:val="0"/>
          <w:marBottom w:val="0"/>
          <w:divBdr>
            <w:top w:val="none" w:sz="0" w:space="0" w:color="auto"/>
            <w:left w:val="none" w:sz="0" w:space="0" w:color="auto"/>
            <w:bottom w:val="none" w:sz="0" w:space="0" w:color="auto"/>
            <w:right w:val="none" w:sz="0" w:space="0" w:color="auto"/>
          </w:divBdr>
        </w:div>
        <w:div w:id="533739536">
          <w:marLeft w:val="446"/>
          <w:marRight w:val="0"/>
          <w:marTop w:val="0"/>
          <w:marBottom w:val="0"/>
          <w:divBdr>
            <w:top w:val="none" w:sz="0" w:space="0" w:color="auto"/>
            <w:left w:val="none" w:sz="0" w:space="0" w:color="auto"/>
            <w:bottom w:val="none" w:sz="0" w:space="0" w:color="auto"/>
            <w:right w:val="none" w:sz="0" w:space="0" w:color="auto"/>
          </w:divBdr>
        </w:div>
        <w:div w:id="356152318">
          <w:marLeft w:val="446"/>
          <w:marRight w:val="0"/>
          <w:marTop w:val="0"/>
          <w:marBottom w:val="0"/>
          <w:divBdr>
            <w:top w:val="none" w:sz="0" w:space="0" w:color="auto"/>
            <w:left w:val="none" w:sz="0" w:space="0" w:color="auto"/>
            <w:bottom w:val="none" w:sz="0" w:space="0" w:color="auto"/>
            <w:right w:val="none" w:sz="0" w:space="0" w:color="auto"/>
          </w:divBdr>
        </w:div>
      </w:divsChild>
    </w:div>
    <w:div w:id="531188273">
      <w:bodyDiv w:val="1"/>
      <w:marLeft w:val="0"/>
      <w:marRight w:val="0"/>
      <w:marTop w:val="0"/>
      <w:marBottom w:val="0"/>
      <w:divBdr>
        <w:top w:val="none" w:sz="0" w:space="0" w:color="auto"/>
        <w:left w:val="none" w:sz="0" w:space="0" w:color="auto"/>
        <w:bottom w:val="none" w:sz="0" w:space="0" w:color="auto"/>
        <w:right w:val="none" w:sz="0" w:space="0" w:color="auto"/>
      </w:divBdr>
    </w:div>
    <w:div w:id="805776870">
      <w:bodyDiv w:val="1"/>
      <w:marLeft w:val="0"/>
      <w:marRight w:val="0"/>
      <w:marTop w:val="0"/>
      <w:marBottom w:val="0"/>
      <w:divBdr>
        <w:top w:val="none" w:sz="0" w:space="0" w:color="auto"/>
        <w:left w:val="none" w:sz="0" w:space="0" w:color="auto"/>
        <w:bottom w:val="none" w:sz="0" w:space="0" w:color="auto"/>
        <w:right w:val="none" w:sz="0" w:space="0" w:color="auto"/>
      </w:divBdr>
    </w:div>
    <w:div w:id="1016889244">
      <w:bodyDiv w:val="1"/>
      <w:marLeft w:val="0"/>
      <w:marRight w:val="0"/>
      <w:marTop w:val="0"/>
      <w:marBottom w:val="0"/>
      <w:divBdr>
        <w:top w:val="none" w:sz="0" w:space="0" w:color="auto"/>
        <w:left w:val="none" w:sz="0" w:space="0" w:color="auto"/>
        <w:bottom w:val="none" w:sz="0" w:space="0" w:color="auto"/>
        <w:right w:val="none" w:sz="0" w:space="0" w:color="auto"/>
      </w:divBdr>
    </w:div>
    <w:div w:id="1278752330">
      <w:bodyDiv w:val="1"/>
      <w:marLeft w:val="0"/>
      <w:marRight w:val="0"/>
      <w:marTop w:val="0"/>
      <w:marBottom w:val="0"/>
      <w:divBdr>
        <w:top w:val="none" w:sz="0" w:space="0" w:color="auto"/>
        <w:left w:val="none" w:sz="0" w:space="0" w:color="auto"/>
        <w:bottom w:val="none" w:sz="0" w:space="0" w:color="auto"/>
        <w:right w:val="none" w:sz="0" w:space="0" w:color="auto"/>
      </w:divBdr>
      <w:divsChild>
        <w:div w:id="2092000642">
          <w:marLeft w:val="547"/>
          <w:marRight w:val="0"/>
          <w:marTop w:val="0"/>
          <w:marBottom w:val="0"/>
          <w:divBdr>
            <w:top w:val="none" w:sz="0" w:space="0" w:color="auto"/>
            <w:left w:val="none" w:sz="0" w:space="0" w:color="auto"/>
            <w:bottom w:val="none" w:sz="0" w:space="0" w:color="auto"/>
            <w:right w:val="none" w:sz="0" w:space="0" w:color="auto"/>
          </w:divBdr>
        </w:div>
      </w:divsChild>
    </w:div>
    <w:div w:id="1687636944">
      <w:bodyDiv w:val="1"/>
      <w:marLeft w:val="0"/>
      <w:marRight w:val="0"/>
      <w:marTop w:val="0"/>
      <w:marBottom w:val="0"/>
      <w:divBdr>
        <w:top w:val="none" w:sz="0" w:space="0" w:color="auto"/>
        <w:left w:val="none" w:sz="0" w:space="0" w:color="auto"/>
        <w:bottom w:val="none" w:sz="0" w:space="0" w:color="auto"/>
        <w:right w:val="none" w:sz="0" w:space="0" w:color="auto"/>
      </w:divBdr>
    </w:div>
    <w:div w:id="1793858438">
      <w:bodyDiv w:val="1"/>
      <w:marLeft w:val="0"/>
      <w:marRight w:val="0"/>
      <w:marTop w:val="0"/>
      <w:marBottom w:val="0"/>
      <w:divBdr>
        <w:top w:val="none" w:sz="0" w:space="0" w:color="auto"/>
        <w:left w:val="none" w:sz="0" w:space="0" w:color="auto"/>
        <w:bottom w:val="none" w:sz="0" w:space="0" w:color="auto"/>
        <w:right w:val="none" w:sz="0" w:space="0" w:color="auto"/>
      </w:divBdr>
    </w:div>
    <w:div w:id="1882745503">
      <w:bodyDiv w:val="1"/>
      <w:marLeft w:val="0"/>
      <w:marRight w:val="0"/>
      <w:marTop w:val="0"/>
      <w:marBottom w:val="0"/>
      <w:divBdr>
        <w:top w:val="none" w:sz="0" w:space="0" w:color="auto"/>
        <w:left w:val="none" w:sz="0" w:space="0" w:color="auto"/>
        <w:bottom w:val="none" w:sz="0" w:space="0" w:color="auto"/>
        <w:right w:val="none" w:sz="0" w:space="0" w:color="auto"/>
      </w:divBdr>
    </w:div>
    <w:div w:id="20303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4D53-7BD9-4118-B2E8-3E972C20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4543</Words>
  <Characters>25899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Grahamslaw</dc:creator>
  <cp:lastModifiedBy>Kate Southgate</cp:lastModifiedBy>
  <cp:revision>3</cp:revision>
  <dcterms:created xsi:type="dcterms:W3CDTF">2025-05-22T09:00:00Z</dcterms:created>
  <dcterms:modified xsi:type="dcterms:W3CDTF">2025-05-22T09:09:00Z</dcterms:modified>
</cp:coreProperties>
</file>